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color w:val="auto"/>
          <w:sz w:val="32"/>
          <w:szCs w:val="32"/>
          <w:highlight w:val="none"/>
        </w:rPr>
      </w:pPr>
      <w:bookmarkStart w:id="1" w:name="_GoBack"/>
      <w:bookmarkEnd w:id="1"/>
      <w:r>
        <w:rPr>
          <w:rFonts w:hint="eastAsia" w:ascii="宋体" w:hAnsi="宋体" w:cs="宋体"/>
          <w:b/>
          <w:bCs/>
          <w:color w:val="auto"/>
          <w:sz w:val="32"/>
          <w:szCs w:val="32"/>
          <w:highlight w:val="none"/>
        </w:rPr>
        <w:t>采购需求</w:t>
      </w:r>
    </w:p>
    <w:p>
      <w:pPr>
        <w:snapToGrid w:val="0"/>
        <w:spacing w:line="360" w:lineRule="exact"/>
        <w:rPr>
          <w:rFonts w:hint="eastAsia" w:ascii="宋体" w:hAnsi="宋体" w:cs="宋体"/>
          <w:b/>
          <w:bCs/>
          <w:color w:val="auto"/>
          <w:spacing w:val="-6"/>
          <w:sz w:val="22"/>
          <w:szCs w:val="22"/>
          <w:highlight w:val="none"/>
        </w:rPr>
      </w:pPr>
      <w:bookmarkStart w:id="0" w:name="_Toc479839540"/>
      <w:r>
        <w:rPr>
          <w:rFonts w:hint="eastAsia" w:ascii="宋体" w:hAnsi="宋体" w:cs="宋体"/>
          <w:b/>
          <w:bCs/>
          <w:color w:val="auto"/>
          <w:spacing w:val="-6"/>
          <w:sz w:val="22"/>
          <w:szCs w:val="22"/>
          <w:highlight w:val="none"/>
        </w:rPr>
        <w:t>一、采购内容及数量</w:t>
      </w:r>
    </w:p>
    <w:tbl>
      <w:tblPr>
        <w:tblStyle w:val="13"/>
        <w:tblW w:w="0" w:type="auto"/>
        <w:jc w:val="center"/>
        <w:tblLayout w:type="fixed"/>
        <w:tblCellMar>
          <w:top w:w="0" w:type="dxa"/>
          <w:left w:w="108" w:type="dxa"/>
          <w:bottom w:w="0" w:type="dxa"/>
          <w:right w:w="108" w:type="dxa"/>
        </w:tblCellMar>
      </w:tblPr>
      <w:tblGrid>
        <w:gridCol w:w="1038"/>
        <w:gridCol w:w="4189"/>
        <w:gridCol w:w="905"/>
        <w:gridCol w:w="1294"/>
      </w:tblGrid>
      <w:tr>
        <w:tblPrEx>
          <w:tblCellMar>
            <w:top w:w="0" w:type="dxa"/>
            <w:left w:w="108" w:type="dxa"/>
            <w:bottom w:w="0" w:type="dxa"/>
            <w:right w:w="108" w:type="dxa"/>
          </w:tblCellMar>
        </w:tblPrEx>
        <w:trPr>
          <w:trHeight w:val="454" w:hRule="atLeast"/>
          <w:jc w:val="center"/>
        </w:trPr>
        <w:tc>
          <w:tcPr>
            <w:tcW w:w="103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序号</w:t>
            </w:r>
          </w:p>
        </w:tc>
        <w:tc>
          <w:tcPr>
            <w:tcW w:w="418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项目内容</w:t>
            </w:r>
          </w:p>
        </w:tc>
        <w:tc>
          <w:tcPr>
            <w:tcW w:w="905"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数量 </w:t>
            </w:r>
          </w:p>
        </w:tc>
        <w:tc>
          <w:tcPr>
            <w:tcW w:w="1294" w:type="dxa"/>
            <w:tcBorders>
              <w:top w:val="single" w:color="000000" w:sz="4" w:space="0"/>
              <w:left w:val="single" w:color="000000"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备注</w:t>
            </w:r>
          </w:p>
        </w:tc>
      </w:tr>
      <w:tr>
        <w:tblPrEx>
          <w:tblCellMar>
            <w:top w:w="0" w:type="dxa"/>
            <w:left w:w="108" w:type="dxa"/>
            <w:bottom w:w="0" w:type="dxa"/>
            <w:right w:w="108" w:type="dxa"/>
          </w:tblCellMar>
        </w:tblPrEx>
        <w:trPr>
          <w:trHeight w:val="454" w:hRule="atLeast"/>
          <w:jc w:val="center"/>
        </w:trPr>
        <w:tc>
          <w:tcPr>
            <w:tcW w:w="1038" w:type="dxa"/>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4189" w:type="dxa"/>
            <w:tcBorders>
              <w:top w:val="single" w:color="000000" w:sz="4" w:space="0"/>
              <w:left w:val="single" w:color="000000"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eastAsia="zh-CN"/>
              </w:rPr>
              <w:t>精度实验室设备</w:t>
            </w:r>
          </w:p>
        </w:tc>
        <w:tc>
          <w:tcPr>
            <w:tcW w:w="905"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1批</w:t>
            </w:r>
          </w:p>
        </w:tc>
        <w:tc>
          <w:tcPr>
            <w:tcW w:w="129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spacing w:line="360" w:lineRule="exact"/>
              <w:jc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rPr>
              <w:t xml:space="preserve"> </w:t>
            </w:r>
          </w:p>
        </w:tc>
      </w:tr>
    </w:tbl>
    <w:p>
      <w:pPr>
        <w:snapToGrid w:val="0"/>
        <w:spacing w:line="360" w:lineRule="exact"/>
        <w:outlineLvl w:val="0"/>
        <w:rPr>
          <w:rFonts w:hint="eastAsia" w:ascii="宋体" w:hAnsi="宋体" w:cs="宋体"/>
          <w:b/>
          <w:color w:val="auto"/>
          <w:spacing w:val="-6"/>
          <w:sz w:val="22"/>
          <w:szCs w:val="22"/>
          <w:highlight w:val="none"/>
        </w:rPr>
      </w:pPr>
      <w:r>
        <w:rPr>
          <w:rFonts w:hint="eastAsia" w:ascii="宋体" w:hAnsi="宋体" w:cs="宋体"/>
          <w:b/>
          <w:bCs/>
          <w:color w:val="auto"/>
          <w:kern w:val="0"/>
          <w:sz w:val="22"/>
          <w:szCs w:val="22"/>
          <w:highlight w:val="none"/>
        </w:rPr>
        <w:t>二、</w:t>
      </w:r>
      <w:r>
        <w:rPr>
          <w:rFonts w:hint="eastAsia" w:ascii="宋体" w:hAnsi="宋体" w:cs="宋体"/>
          <w:b/>
          <w:color w:val="auto"/>
          <w:spacing w:val="-6"/>
          <w:sz w:val="22"/>
          <w:szCs w:val="22"/>
          <w:highlight w:val="none"/>
        </w:rPr>
        <w:t>商务要求（技术要求里另有注明的以技术要求为准）</w:t>
      </w:r>
    </w:p>
    <w:tbl>
      <w:tblPr>
        <w:tblStyle w:val="1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1"/>
        <w:gridCol w:w="81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支付方式</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cs="宋体"/>
                <w:color w:val="auto"/>
                <w:sz w:val="22"/>
                <w:highlight w:val="none"/>
                <w:u w:val="single"/>
              </w:rPr>
            </w:pPr>
            <w:r>
              <w:rPr>
                <w:rFonts w:hint="eastAsia" w:ascii="宋体" w:hAnsi="宋体" w:cs="宋体"/>
                <w:color w:val="auto"/>
                <w:sz w:val="22"/>
                <w:highlight w:val="none"/>
                <w:u w:val="single"/>
              </w:rPr>
              <w:t>▲一、履约保证金支付</w:t>
            </w:r>
          </w:p>
          <w:p>
            <w:pPr>
              <w:widowControl/>
              <w:spacing w:line="360" w:lineRule="exact"/>
              <w:ind w:firstLine="440" w:firstLineChars="200"/>
              <w:jc w:val="left"/>
              <w:rPr>
                <w:rFonts w:ascii="宋体" w:hAnsi="宋体" w:cs="宋体"/>
                <w:color w:val="auto"/>
                <w:sz w:val="22"/>
                <w:highlight w:val="none"/>
                <w:u w:val="single"/>
              </w:rPr>
            </w:pPr>
            <w:r>
              <w:rPr>
                <w:rFonts w:hint="eastAsia" w:ascii="宋体" w:hAnsi="宋体" w:cs="宋体"/>
                <w:color w:val="auto"/>
                <w:sz w:val="22"/>
                <w:highlight w:val="none"/>
                <w:u w:val="single"/>
              </w:rPr>
              <w:t>合同签订后，</w:t>
            </w:r>
            <w:r>
              <w:rPr>
                <w:rFonts w:hint="eastAsia" w:ascii="宋体" w:hAnsi="宋体" w:cs="宋体"/>
                <w:color w:val="auto"/>
                <w:sz w:val="22"/>
                <w:highlight w:val="none"/>
                <w:u w:val="single"/>
                <w:lang w:eastAsia="zh-CN"/>
              </w:rPr>
              <w:t>成交供应商</w:t>
            </w:r>
            <w:r>
              <w:rPr>
                <w:rFonts w:hint="eastAsia" w:ascii="宋体" w:hAnsi="宋体" w:cs="宋体"/>
                <w:color w:val="auto"/>
                <w:sz w:val="22"/>
                <w:highlight w:val="none"/>
                <w:u w:val="single"/>
              </w:rPr>
              <w:t>5个工作日内支付合同金额的1%作为履约保证金</w:t>
            </w:r>
            <w:r>
              <w:rPr>
                <w:rFonts w:hint="eastAsia" w:ascii="宋体" w:hAnsi="宋体" w:cs="宋体"/>
                <w:color w:val="auto"/>
                <w:sz w:val="22"/>
                <w:highlight w:val="none"/>
                <w:u w:val="single"/>
                <w:lang w:eastAsia="zh-CN"/>
              </w:rPr>
              <w:t>（以</w:t>
            </w:r>
            <w:r>
              <w:rPr>
                <w:rFonts w:hint="eastAsia" w:ascii="宋体" w:hAnsi="宋体" w:eastAsia="宋体" w:cs="Helvetica"/>
                <w:color w:val="auto"/>
                <w:kern w:val="0"/>
                <w:szCs w:val="21"/>
                <w:highlight w:val="none"/>
                <w:u w:val="single"/>
              </w:rPr>
              <w:t>支票、汇票、本票或者金融机构、担保机构出具的保函等非现金形式提交</w:t>
            </w:r>
            <w:r>
              <w:rPr>
                <w:rFonts w:hint="eastAsia" w:ascii="宋体" w:hAnsi="宋体" w:eastAsia="宋体"/>
                <w:color w:val="auto"/>
                <w:szCs w:val="21"/>
                <w:highlight w:val="none"/>
                <w:u w:val="single"/>
              </w:rPr>
              <w:t>。鼓励和支持供应商以银行、保险公司出具的保函形式提供履约保证金。</w:t>
            </w:r>
            <w:r>
              <w:rPr>
                <w:rFonts w:hint="eastAsia" w:ascii="宋体" w:hAnsi="宋体" w:cs="宋体"/>
                <w:color w:val="auto"/>
                <w:sz w:val="22"/>
                <w:highlight w:val="none"/>
                <w:u w:val="single"/>
                <w:lang w:eastAsia="zh-CN"/>
              </w:rPr>
              <w:t>）</w:t>
            </w:r>
            <w:r>
              <w:rPr>
                <w:rFonts w:hint="eastAsia" w:ascii="宋体" w:hAnsi="宋体" w:cs="宋体"/>
                <w:color w:val="auto"/>
                <w:sz w:val="22"/>
                <w:highlight w:val="none"/>
                <w:u w:val="single"/>
              </w:rPr>
              <w:t>，履约保证金自项目验收合格之日起无质量问题，采购人按程序在7个工作日内无息退还。</w:t>
            </w:r>
          </w:p>
          <w:p>
            <w:pPr>
              <w:widowControl/>
              <w:spacing w:line="360" w:lineRule="exact"/>
              <w:jc w:val="left"/>
              <w:rPr>
                <w:rFonts w:ascii="宋体" w:hAnsi="宋体" w:cs="宋体"/>
                <w:color w:val="auto"/>
                <w:sz w:val="22"/>
                <w:highlight w:val="none"/>
                <w:u w:val="single"/>
              </w:rPr>
            </w:pPr>
            <w:r>
              <w:rPr>
                <w:rFonts w:hint="eastAsia" w:ascii="宋体" w:hAnsi="宋体" w:cs="宋体"/>
                <w:color w:val="auto"/>
                <w:sz w:val="22"/>
                <w:highlight w:val="none"/>
                <w:u w:val="single"/>
              </w:rPr>
              <w:t>▲二、合同金额结算及支付方式：</w:t>
            </w:r>
          </w:p>
          <w:p>
            <w:pPr>
              <w:keepNext w:val="0"/>
              <w:keepLines w:val="0"/>
              <w:pageBreakBefore w:val="0"/>
              <w:kinsoku/>
              <w:wordWrap/>
              <w:overflowPunct/>
              <w:topLinePunct w:val="0"/>
              <w:bidi w:val="0"/>
              <w:spacing w:line="360" w:lineRule="exact"/>
              <w:ind w:left="0" w:lef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合同生效</w:t>
            </w:r>
            <w:r>
              <w:rPr>
                <w:rFonts w:hint="eastAsia" w:ascii="宋体" w:hAnsi="宋体" w:eastAsia="宋体" w:cs="宋体"/>
                <w:bCs/>
                <w:color w:val="auto"/>
                <w:sz w:val="22"/>
                <w:szCs w:val="22"/>
                <w:highlight w:val="none"/>
                <w:u w:val="single"/>
                <w:lang w:eastAsia="zh-CN"/>
              </w:rPr>
              <w:t>、</w:t>
            </w:r>
            <w:r>
              <w:rPr>
                <w:rFonts w:hint="eastAsia" w:ascii="宋体" w:hAnsi="宋体" w:cs="宋体"/>
                <w:bCs/>
                <w:color w:val="auto"/>
                <w:sz w:val="22"/>
                <w:szCs w:val="22"/>
                <w:highlight w:val="none"/>
                <w:u w:val="single"/>
              </w:rPr>
              <w:t>采购人收到</w:t>
            </w:r>
            <w:r>
              <w:rPr>
                <w:rFonts w:hint="eastAsia" w:ascii="宋体" w:hAnsi="宋体" w:cs="宋体"/>
                <w:bCs/>
                <w:color w:val="auto"/>
                <w:sz w:val="22"/>
                <w:szCs w:val="22"/>
                <w:highlight w:val="none"/>
                <w:u w:val="single"/>
                <w:lang w:eastAsia="zh-CN"/>
              </w:rPr>
              <w:t>成交供应商</w:t>
            </w:r>
            <w:r>
              <w:rPr>
                <w:rFonts w:hint="eastAsia" w:ascii="宋体" w:hAnsi="宋体" w:cs="宋体"/>
                <w:bCs/>
                <w:color w:val="auto"/>
                <w:sz w:val="22"/>
                <w:szCs w:val="22"/>
                <w:highlight w:val="none"/>
                <w:u w:val="single"/>
              </w:rPr>
              <w:t>出具的合同金额40%保函</w:t>
            </w:r>
            <w:r>
              <w:rPr>
                <w:rFonts w:hint="eastAsia" w:ascii="宋体" w:hAnsi="宋体" w:eastAsia="宋体" w:cs="宋体"/>
                <w:color w:val="auto"/>
                <w:sz w:val="22"/>
                <w:szCs w:val="22"/>
                <w:highlight w:val="none"/>
                <w:u w:val="single"/>
              </w:rPr>
              <w:t>以及具备实施条件后7个工作日内</w:t>
            </w:r>
            <w:r>
              <w:rPr>
                <w:rFonts w:hint="eastAsia" w:ascii="宋体" w:hAnsi="宋体" w:cs="宋体"/>
                <w:bCs/>
                <w:color w:val="auto"/>
                <w:sz w:val="22"/>
                <w:szCs w:val="22"/>
                <w:highlight w:val="none"/>
                <w:u w:val="single"/>
              </w:rPr>
              <w:t>，向</w:t>
            </w:r>
            <w:r>
              <w:rPr>
                <w:rFonts w:hint="eastAsia" w:ascii="宋体" w:hAnsi="宋体" w:cs="宋体"/>
                <w:bCs/>
                <w:color w:val="auto"/>
                <w:sz w:val="22"/>
                <w:szCs w:val="22"/>
                <w:highlight w:val="none"/>
                <w:u w:val="single"/>
                <w:lang w:eastAsia="zh-CN"/>
              </w:rPr>
              <w:t>成交供应商</w:t>
            </w:r>
            <w:r>
              <w:rPr>
                <w:rFonts w:hint="eastAsia" w:ascii="宋体" w:hAnsi="宋体" w:cs="宋体"/>
                <w:bCs/>
                <w:color w:val="auto"/>
                <w:sz w:val="22"/>
                <w:szCs w:val="22"/>
                <w:highlight w:val="none"/>
                <w:u w:val="single"/>
              </w:rPr>
              <w:t>支付合同总额40%的预付款</w:t>
            </w: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eastAsia="zh-CN"/>
              </w:rPr>
              <w:t>成交供应商</w:t>
            </w:r>
            <w:r>
              <w:rPr>
                <w:rFonts w:hint="eastAsia" w:ascii="宋体" w:hAnsi="宋体" w:eastAsia="宋体" w:cs="宋体"/>
                <w:color w:val="auto"/>
                <w:sz w:val="22"/>
                <w:szCs w:val="22"/>
                <w:highlight w:val="none"/>
                <w:u w:val="single"/>
                <w:lang w:val="zh-CN"/>
              </w:rPr>
              <w:t>完成全部供货及安装、调试</w:t>
            </w:r>
            <w:r>
              <w:rPr>
                <w:rFonts w:hint="eastAsia" w:ascii="宋体" w:hAnsi="宋体" w:cs="宋体"/>
                <w:bCs/>
                <w:color w:val="auto"/>
                <w:sz w:val="22"/>
                <w:szCs w:val="22"/>
                <w:highlight w:val="none"/>
                <w:u w:val="single"/>
                <w:lang w:val="zh-CN"/>
              </w:rPr>
              <w:t>、培训</w:t>
            </w:r>
            <w:r>
              <w:rPr>
                <w:rFonts w:hint="eastAsia" w:ascii="宋体" w:hAnsi="宋体" w:eastAsia="宋体" w:cs="宋体"/>
                <w:color w:val="auto"/>
                <w:sz w:val="22"/>
                <w:szCs w:val="22"/>
                <w:highlight w:val="none"/>
                <w:u w:val="single"/>
                <w:lang w:val="zh-CN"/>
              </w:rPr>
              <w:t>，</w:t>
            </w:r>
            <w:r>
              <w:rPr>
                <w:rFonts w:hint="eastAsia" w:ascii="宋体" w:hAnsi="宋体" w:eastAsia="宋体" w:cs="宋体"/>
                <w:color w:val="auto"/>
                <w:sz w:val="22"/>
                <w:szCs w:val="22"/>
                <w:highlight w:val="none"/>
                <w:u w:val="single"/>
              </w:rPr>
              <w:t>采购人</w:t>
            </w:r>
            <w:r>
              <w:rPr>
                <w:rFonts w:hint="eastAsia" w:ascii="宋体" w:hAnsi="宋体" w:eastAsia="宋体" w:cs="宋体"/>
                <w:color w:val="auto"/>
                <w:sz w:val="22"/>
                <w:szCs w:val="22"/>
                <w:highlight w:val="none"/>
                <w:u w:val="single"/>
                <w:lang w:val="zh-CN"/>
              </w:rPr>
              <w:t>验收合格并入库后</w:t>
            </w:r>
            <w:r>
              <w:rPr>
                <w:rFonts w:hint="eastAsia" w:ascii="宋体" w:hAnsi="宋体" w:cs="宋体"/>
                <w:bCs/>
                <w:color w:val="auto"/>
                <w:sz w:val="22"/>
                <w:szCs w:val="22"/>
                <w:highlight w:val="none"/>
                <w:u w:val="single"/>
                <w:lang w:val="zh-CN"/>
              </w:rPr>
              <w:t>，采购人支付剩余</w:t>
            </w:r>
            <w:r>
              <w:rPr>
                <w:rFonts w:hint="eastAsia" w:ascii="宋体" w:hAnsi="宋体" w:cs="宋体"/>
                <w:bCs/>
                <w:color w:val="auto"/>
                <w:sz w:val="22"/>
                <w:szCs w:val="22"/>
                <w:highlight w:val="none"/>
                <w:u w:val="single"/>
              </w:rPr>
              <w:t>60%的</w:t>
            </w:r>
            <w:r>
              <w:rPr>
                <w:rFonts w:hint="eastAsia" w:ascii="宋体" w:hAnsi="宋体" w:cs="宋体"/>
                <w:bCs/>
                <w:color w:val="auto"/>
                <w:sz w:val="22"/>
                <w:szCs w:val="22"/>
                <w:highlight w:val="none"/>
                <w:u w:val="single"/>
                <w:lang w:val="zh-CN"/>
              </w:rPr>
              <w:t>合同款并退还保函</w:t>
            </w:r>
            <w:r>
              <w:rPr>
                <w:rFonts w:hint="eastAsia" w:ascii="宋体" w:hAnsi="宋体" w:eastAsia="宋体" w:cs="宋体"/>
                <w:color w:val="auto"/>
                <w:sz w:val="22"/>
                <w:szCs w:val="22"/>
                <w:highlight w:val="none"/>
                <w:u w:val="single"/>
              </w:rPr>
              <w:t>。</w:t>
            </w:r>
          </w:p>
          <w:p>
            <w:pPr>
              <w:widowControl/>
              <w:numPr>
                <w:ilvl w:val="0"/>
                <w:numId w:val="0"/>
              </w:numPr>
              <w:spacing w:line="360" w:lineRule="exact"/>
              <w:jc w:val="left"/>
              <w:rPr>
                <w:rFonts w:hint="eastAsia" w:ascii="宋体" w:hAnsi="宋体" w:cs="宋体"/>
                <w:bCs/>
                <w:color w:val="auto"/>
                <w:sz w:val="22"/>
                <w:szCs w:val="22"/>
                <w:highlight w:val="none"/>
                <w:lang w:val="zh-CN"/>
              </w:rPr>
            </w:pPr>
            <w:r>
              <w:rPr>
                <w:rFonts w:hint="eastAsia" w:ascii="宋体" w:hAnsi="宋体" w:eastAsia="宋体" w:cs="宋体"/>
                <w:color w:val="auto"/>
                <w:sz w:val="22"/>
                <w:szCs w:val="22"/>
                <w:highlight w:val="none"/>
                <w:u w:val="single"/>
              </w:rPr>
              <w:t>注：在签订合同时，</w:t>
            </w:r>
            <w:r>
              <w:rPr>
                <w:rFonts w:hint="eastAsia" w:ascii="宋体" w:hAnsi="宋体" w:eastAsia="宋体" w:cs="宋体"/>
                <w:color w:val="auto"/>
                <w:sz w:val="22"/>
                <w:szCs w:val="22"/>
                <w:highlight w:val="none"/>
                <w:u w:val="single"/>
                <w:lang w:eastAsia="zh-CN"/>
              </w:rPr>
              <w:t>成交供应商</w:t>
            </w:r>
            <w:r>
              <w:rPr>
                <w:rFonts w:hint="eastAsia" w:ascii="宋体" w:hAnsi="宋体" w:eastAsia="宋体" w:cs="宋体"/>
                <w:color w:val="auto"/>
                <w:sz w:val="22"/>
                <w:szCs w:val="22"/>
                <w:highlight w:val="none"/>
                <w:u w:val="single"/>
              </w:rPr>
              <w:t>明确表示无需预付款或者主动要求降低预付款比例的，按实际比例计。</w:t>
            </w:r>
            <w:r>
              <w:rPr>
                <w:rFonts w:hint="eastAsia" w:ascii="宋体" w:hAnsi="宋体" w:eastAsia="宋体" w:cs="宋体"/>
                <w:color w:val="auto"/>
                <w:sz w:val="22"/>
                <w:szCs w:val="22"/>
                <w:highlight w:val="none"/>
                <w:u w:val="single"/>
                <w:lang w:val="zh-CN"/>
              </w:rPr>
              <w:t>采购</w:t>
            </w:r>
            <w:r>
              <w:rPr>
                <w:rFonts w:hint="eastAsia" w:ascii="宋体" w:hAnsi="宋体" w:eastAsia="宋体" w:cs="宋体"/>
                <w:color w:val="auto"/>
                <w:sz w:val="22"/>
                <w:szCs w:val="22"/>
                <w:highlight w:val="none"/>
                <w:u w:val="single"/>
                <w:lang w:val="zh-CN" w:eastAsia="zh-CN"/>
              </w:rPr>
              <w:t>人</w:t>
            </w:r>
            <w:r>
              <w:rPr>
                <w:rFonts w:hint="eastAsia" w:ascii="宋体" w:hAnsi="宋体" w:eastAsia="宋体" w:cs="宋体"/>
                <w:color w:val="auto"/>
                <w:sz w:val="22"/>
                <w:szCs w:val="22"/>
                <w:highlight w:val="none"/>
                <w:u w:val="single"/>
                <w:lang w:val="zh-CN"/>
              </w:rPr>
              <w:t>对于满足合同约定支付条件的，自收到发票后7个工作日内将资金支付到合同约定的供应商账户。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交付时间</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2022年08月20日前交货完毕、安装调试完成。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交付地点</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采购人指定地点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质保期</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质保期1年，质保期时间自验收合格之日开始计算。</w:t>
            </w:r>
            <w:r>
              <w:rPr>
                <w:rFonts w:hint="eastAsia" w:ascii="宋体" w:hAnsi="宋体" w:cs="宋体"/>
                <w:color w:val="auto"/>
                <w:sz w:val="22"/>
                <w:highlight w:val="none"/>
                <w:u w:val="single"/>
              </w:rPr>
              <w:t>▲质保期低于1年的投标无效。</w:t>
            </w:r>
            <w:r>
              <w:rPr>
                <w:rFonts w:hint="eastAsia" w:ascii="宋体" w:hAnsi="宋体" w:cs="宋体"/>
                <w:color w:val="auto"/>
                <w:sz w:val="22"/>
                <w:highlight w:val="none"/>
              </w:rPr>
              <w:t>在此质保期内，如在正常使用过程中出现的质量问题，供应商须负责免费维修或调换。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服务标准</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1.质保期内因不能排除的故障而影响工作的情况每发生一次，其质保期相应延长60天，质保期内因设备本身缺陷造成各种故障应由供应商免费予以技术服务和维修（如有必要可进行更换），否则将扣除质量保证金作为对采购人的补偿。</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2.在设备整个质保期内，成交供应商应确保设备的正常使用，零配件在该设备停产后仍需保证2年的供应，维修过程中所需零配件成交供应商在接到通知后应当天及时提供，并最长不超过12小时（特殊设备另行说明）送达用户指定地点。</w:t>
            </w:r>
          </w:p>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3.质保期满后，仅收取设备维修的材料和零配件成本费用，免人工费、差旅费，所涉及软件终身免费升级。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服务效率</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合同货物出现故障后，供应商接到采购人通知应在不超过2小时内做出响应，不超过2个工作日内解决故障。</w:t>
            </w:r>
          </w:p>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供应商提供7*24小时服务响应，需要到达现场解决的，接到用户报修电话后，在4小时到故障现场，故障在8小时内处理完成。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pacing w:val="-6"/>
                <w:sz w:val="22"/>
                <w:szCs w:val="22"/>
                <w:highlight w:val="none"/>
              </w:rPr>
              <w:t>验收标准</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合同履约验收参照《温州市政府采购履约验收办法》(温财采[2020]6号)相关规定。合同履约达到验收条件时，</w:t>
            </w: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向采购人书面发起验收申请，采购人或者其委托的采购代理机构在收到</w:t>
            </w: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验收申请五个工作日内启动项目验收。按照采购合同、</w:t>
            </w:r>
            <w:r>
              <w:rPr>
                <w:rFonts w:hint="eastAsia" w:ascii="宋体" w:hAnsi="宋体" w:cs="宋体"/>
                <w:color w:val="auto"/>
                <w:sz w:val="22"/>
                <w:highlight w:val="none"/>
                <w:lang w:eastAsia="zh-CN"/>
              </w:rPr>
              <w:t>响应文件</w:t>
            </w:r>
            <w:r>
              <w:rPr>
                <w:rFonts w:hint="eastAsia" w:ascii="宋体" w:hAnsi="宋体" w:cs="宋体"/>
                <w:color w:val="auto"/>
                <w:sz w:val="22"/>
                <w:highlight w:val="none"/>
              </w:rPr>
              <w:t>、采购文件等约定的质量、数量、技术指标或者服务要求设验收指标及其标准。未约定的，应当符合国家强制性规定、政策要求、安全标准、行业或企业有关标准等。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19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其他</w:t>
            </w:r>
          </w:p>
        </w:tc>
        <w:tc>
          <w:tcPr>
            <w:tcW w:w="8140" w:type="dxa"/>
            <w:tcBorders>
              <w:top w:val="single" w:color="auto" w:sz="4" w:space="0"/>
              <w:left w:val="single" w:color="auto" w:sz="4" w:space="0"/>
              <w:bottom w:val="single" w:color="auto" w:sz="4" w:space="0"/>
              <w:right w:val="single" w:color="auto" w:sz="4" w:space="0"/>
            </w:tcBorders>
            <w:noWrap w:val="0"/>
            <w:vAlign w:val="center"/>
          </w:tcPr>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1.培训：</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1.1 对采购人的操作人员、维修人员每年定期免费进行培训。</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1.2 提供完整详细的实施、培训和运维计划方案，并得到采购人的批准。实施过程严格按照批准后的计划进行，如有变更需再次得到采购人的批准。</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2.技术支持：</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应及时免费提供合同货物软件的升级，免费提供合同货物新功能和应用的资料。</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3.安装调试（若需要安装调试）：</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3.1 安装地点：采购人指定地点。</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3.2 安装完成时间：接到采购人通知后在规定时间内完成安装和调试，如在规定的时间内由于</w:t>
            </w: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的原因不能完成安装和调试，</w:t>
            </w: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应承担由此给采购人造成的损失。</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3.3 安装标准：符合我国国家有关技术规范要求和技术标准，所有的软件和硬件必须保证同时安装到位。</w:t>
            </w:r>
          </w:p>
          <w:p>
            <w:pPr>
              <w:pStyle w:val="5"/>
              <w:widowControl/>
              <w:adjustRightInd w:val="0"/>
              <w:snapToGrid w:val="0"/>
              <w:spacing w:line="360" w:lineRule="exact"/>
              <w:rPr>
                <w:rFonts w:ascii="宋体" w:hAnsi="宋体" w:cs="宋体"/>
                <w:color w:val="auto"/>
                <w:sz w:val="22"/>
                <w:highlight w:val="none"/>
              </w:rPr>
            </w:pPr>
            <w:r>
              <w:rPr>
                <w:rFonts w:hint="eastAsia" w:ascii="宋体" w:hAnsi="宋体" w:cs="宋体"/>
                <w:color w:val="auto"/>
                <w:sz w:val="22"/>
                <w:highlight w:val="none"/>
              </w:rPr>
              <w:t xml:space="preserve">3.4 </w:t>
            </w:r>
            <w:r>
              <w:rPr>
                <w:rFonts w:hint="eastAsia" w:ascii="宋体" w:hAnsi="宋体" w:cs="宋体"/>
                <w:color w:val="auto"/>
                <w:sz w:val="22"/>
                <w:highlight w:val="none"/>
                <w:lang w:eastAsia="zh-CN"/>
              </w:rPr>
              <w:t>成交供应商</w:t>
            </w:r>
            <w:r>
              <w:rPr>
                <w:rFonts w:hint="eastAsia" w:ascii="宋体" w:hAnsi="宋体" w:cs="宋体"/>
                <w:color w:val="auto"/>
                <w:sz w:val="22"/>
                <w:highlight w:val="none"/>
              </w:rPr>
              <w:t>免费提供合同货物的安装服务。</w:t>
            </w:r>
          </w:p>
          <w:p>
            <w:pPr>
              <w:pStyle w:val="5"/>
              <w:widowControl/>
              <w:adjustRightInd w:val="0"/>
              <w:snapToGrid w:val="0"/>
              <w:spacing w:line="360" w:lineRule="exact"/>
              <w:rPr>
                <w:rFonts w:hint="eastAsia" w:ascii="宋体" w:hAnsi="宋体" w:cs="宋体"/>
                <w:color w:val="auto"/>
                <w:sz w:val="22"/>
                <w:highlight w:val="none"/>
              </w:rPr>
            </w:pPr>
            <w:r>
              <w:rPr>
                <w:rFonts w:hint="eastAsia" w:ascii="宋体" w:hAnsi="宋体" w:cs="宋体"/>
                <w:color w:val="auto"/>
                <w:sz w:val="22"/>
                <w:highlight w:val="none"/>
              </w:rPr>
              <w:t xml:space="preserve">3.5 </w:t>
            </w:r>
            <w:r>
              <w:rPr>
                <w:rFonts w:hint="eastAsia" w:ascii="宋体" w:hAnsi="宋体" w:cs="宋体"/>
                <w:color w:val="auto"/>
                <w:sz w:val="22"/>
                <w:highlight w:val="none"/>
                <w:lang w:eastAsia="zh-CN"/>
              </w:rPr>
              <w:t>供应商</w:t>
            </w:r>
            <w:r>
              <w:rPr>
                <w:rFonts w:hint="eastAsia" w:ascii="宋体" w:hAnsi="宋体" w:cs="宋体"/>
                <w:color w:val="auto"/>
                <w:sz w:val="22"/>
                <w:highlight w:val="none"/>
              </w:rPr>
              <w:t>在</w:t>
            </w:r>
            <w:r>
              <w:rPr>
                <w:rFonts w:hint="eastAsia" w:ascii="宋体" w:hAnsi="宋体" w:cs="宋体"/>
                <w:color w:val="auto"/>
                <w:sz w:val="22"/>
                <w:highlight w:val="none"/>
                <w:lang w:eastAsia="zh-CN"/>
              </w:rPr>
              <w:t>响应文件</w:t>
            </w:r>
            <w:r>
              <w:rPr>
                <w:rFonts w:hint="eastAsia" w:ascii="宋体" w:hAnsi="宋体" w:cs="宋体"/>
                <w:color w:val="auto"/>
                <w:sz w:val="22"/>
                <w:highlight w:val="none"/>
              </w:rPr>
              <w:t>中应提供安装调试计划、对安装场地和环境的要求。</w:t>
            </w:r>
          </w:p>
        </w:tc>
      </w:tr>
    </w:tbl>
    <w:p>
      <w:pPr>
        <w:numPr>
          <w:ilvl w:val="0"/>
          <w:numId w:val="2"/>
        </w:numPr>
        <w:snapToGrid w:val="0"/>
        <w:spacing w:line="360" w:lineRule="exact"/>
        <w:rPr>
          <w:rFonts w:hint="eastAsia" w:ascii="宋体" w:hAnsi="宋体" w:cs="宋体"/>
          <w:b/>
          <w:bCs/>
          <w:color w:val="auto"/>
          <w:spacing w:val="-6"/>
          <w:sz w:val="22"/>
          <w:szCs w:val="22"/>
          <w:highlight w:val="none"/>
        </w:rPr>
      </w:pPr>
      <w:r>
        <w:rPr>
          <w:rFonts w:hint="eastAsia" w:ascii="宋体" w:hAnsi="宋体" w:cs="宋体"/>
          <w:b/>
          <w:bCs/>
          <w:color w:val="auto"/>
          <w:spacing w:val="-6"/>
          <w:sz w:val="22"/>
          <w:szCs w:val="22"/>
          <w:highlight w:val="none"/>
        </w:rPr>
        <w:t>技术要求</w:t>
      </w:r>
    </w:p>
    <w:p>
      <w:pPr>
        <w:pStyle w:val="2"/>
        <w:spacing w:line="360" w:lineRule="exact"/>
        <w:ind w:leftChars="0"/>
        <w:rPr>
          <w:rFonts w:hint="eastAsia" w:ascii="宋体" w:hAnsi="宋体" w:cs="宋体"/>
          <w:b w:val="0"/>
          <w:bCs/>
          <w:color w:val="auto"/>
          <w:sz w:val="22"/>
          <w:szCs w:val="22"/>
          <w:highlight w:val="none"/>
        </w:rPr>
      </w:pPr>
      <w:r>
        <w:rPr>
          <w:rFonts w:hint="eastAsia" w:ascii="宋体" w:hAnsi="宋体" w:cs="宋体"/>
          <w:b w:val="0"/>
          <w:bCs/>
          <w:color w:val="auto"/>
          <w:spacing w:val="-6"/>
          <w:sz w:val="22"/>
          <w:szCs w:val="22"/>
          <w:highlight w:val="none"/>
        </w:rPr>
        <w:t>核心产品：</w:t>
      </w:r>
      <w:r>
        <w:rPr>
          <w:rFonts w:hint="eastAsia" w:ascii="宋体" w:hAnsi="宋体" w:cs="宋体"/>
          <w:b w:val="0"/>
          <w:bCs/>
          <w:color w:val="auto"/>
          <w:kern w:val="0"/>
          <w:sz w:val="22"/>
          <w:szCs w:val="22"/>
          <w:highlight w:val="none"/>
          <w:lang w:bidi="ar"/>
        </w:rPr>
        <w:t>表面粗糙度测量仪</w:t>
      </w:r>
    </w:p>
    <w:p>
      <w:pPr>
        <w:rPr>
          <w:rFonts w:hint="eastAsia" w:ascii="宋体" w:hAnsi="宋体" w:cs="宋体"/>
          <w:bCs/>
          <w:color w:val="auto"/>
          <w:sz w:val="22"/>
          <w:szCs w:val="22"/>
          <w:highlight w:val="none"/>
        </w:rPr>
      </w:pPr>
      <w:r>
        <w:rPr>
          <w:rFonts w:hint="eastAsia" w:ascii="宋体" w:hAnsi="宋体" w:cs="宋体"/>
          <w:bCs/>
          <w:color w:val="auto"/>
          <w:sz w:val="22"/>
          <w:szCs w:val="22"/>
          <w:highlight w:val="none"/>
        </w:rPr>
        <w:t>（一）设备清单</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4629"/>
        <w:gridCol w:w="1246"/>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91" w:type="dxa"/>
            <w:noWrap w:val="0"/>
            <w:vAlign w:val="center"/>
          </w:tcPr>
          <w:p>
            <w:pPr>
              <w:spacing w:line="360" w:lineRule="exact"/>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序号</w:t>
            </w:r>
          </w:p>
        </w:tc>
        <w:tc>
          <w:tcPr>
            <w:tcW w:w="4629" w:type="dxa"/>
            <w:noWrap w:val="0"/>
            <w:vAlign w:val="center"/>
          </w:tcPr>
          <w:p>
            <w:pPr>
              <w:spacing w:line="360" w:lineRule="exact"/>
              <w:jc w:val="center"/>
              <w:rPr>
                <w:rFonts w:hint="eastAsia" w:ascii="宋体" w:hAnsi="宋体" w:cs="宋体"/>
                <w:bCs/>
                <w:color w:val="auto"/>
                <w:kern w:val="0"/>
                <w:sz w:val="22"/>
                <w:szCs w:val="22"/>
                <w:highlight w:val="none"/>
              </w:rPr>
            </w:pPr>
            <w:r>
              <w:rPr>
                <w:rFonts w:hint="eastAsia" w:ascii="宋体" w:hAnsi="宋体" w:cs="宋体"/>
                <w:bCs/>
                <w:color w:val="auto"/>
                <w:kern w:val="0"/>
                <w:sz w:val="22"/>
                <w:szCs w:val="22"/>
                <w:highlight w:val="none"/>
              </w:rPr>
              <w:t>设备名称</w:t>
            </w:r>
          </w:p>
        </w:tc>
        <w:tc>
          <w:tcPr>
            <w:tcW w:w="1246" w:type="dxa"/>
            <w:noWrap w:val="0"/>
            <w:vAlign w:val="center"/>
          </w:tcPr>
          <w:p>
            <w:pPr>
              <w:spacing w:line="360" w:lineRule="exact"/>
              <w:jc w:val="center"/>
              <w:rPr>
                <w:rFonts w:hint="eastAsia" w:ascii="宋体" w:hAnsi="宋体" w:cs="宋体"/>
                <w:bCs/>
                <w:color w:val="auto"/>
                <w:kern w:val="0"/>
                <w:sz w:val="22"/>
                <w:szCs w:val="22"/>
                <w:highlight w:val="none"/>
              </w:rPr>
            </w:pPr>
            <w:r>
              <w:rPr>
                <w:rFonts w:hint="eastAsia" w:ascii="宋体" w:hAnsi="宋体" w:cs="宋体"/>
                <w:bCs/>
                <w:color w:val="auto"/>
                <w:kern w:val="0"/>
                <w:sz w:val="22"/>
                <w:szCs w:val="22"/>
                <w:highlight w:val="none"/>
              </w:rPr>
              <w:t>数量</w:t>
            </w:r>
          </w:p>
        </w:tc>
        <w:tc>
          <w:tcPr>
            <w:tcW w:w="2265" w:type="dxa"/>
            <w:noWrap w:val="0"/>
            <w:vAlign w:val="center"/>
          </w:tcPr>
          <w:p>
            <w:pPr>
              <w:spacing w:line="360" w:lineRule="exact"/>
              <w:jc w:val="center"/>
              <w:rPr>
                <w:rFonts w:hint="eastAsia" w:ascii="宋体" w:hAnsi="宋体" w:cs="宋体"/>
                <w:bCs/>
                <w:color w:val="auto"/>
                <w:kern w:val="0"/>
                <w:sz w:val="22"/>
                <w:szCs w:val="22"/>
                <w:highlight w:val="none"/>
              </w:rPr>
            </w:pPr>
            <w:r>
              <w:rPr>
                <w:rFonts w:hint="eastAsia" w:ascii="宋体" w:hAnsi="宋体" w:cs="宋体"/>
                <w:bCs/>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bCs/>
                <w:color w:val="auto"/>
                <w:sz w:val="22"/>
                <w:szCs w:val="22"/>
                <w:highlight w:val="none"/>
              </w:rPr>
            </w:pPr>
            <w:r>
              <w:rPr>
                <w:rFonts w:hint="eastAsia" w:ascii="宋体" w:hAnsi="宋体" w:cs="宋体"/>
                <w:bCs/>
                <w:color w:val="auto"/>
                <w:sz w:val="22"/>
                <w:szCs w:val="22"/>
                <w:highlight w:val="none"/>
              </w:rPr>
              <w:t>1</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游标卡尺</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18把</w:t>
            </w:r>
          </w:p>
        </w:tc>
        <w:tc>
          <w:tcPr>
            <w:tcW w:w="2265" w:type="dxa"/>
            <w:noWrap w:val="0"/>
            <w:vAlign w:val="center"/>
          </w:tcPr>
          <w:p>
            <w:pPr>
              <w:widowControl/>
              <w:jc w:val="center"/>
              <w:textAlignment w:val="center"/>
              <w:rPr>
                <w:rFonts w:hint="eastAsia" w:ascii="宋体" w:hAnsi="宋体" w:cs="宋体"/>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bCs/>
                <w:color w:val="auto"/>
                <w:kern w:val="2"/>
                <w:sz w:val="22"/>
                <w:szCs w:val="22"/>
                <w:highlight w:val="none"/>
                <w:lang w:val="en-US" w:eastAsia="zh-CN" w:bidi="ar-SA"/>
              </w:rPr>
            </w:pPr>
            <w:r>
              <w:rPr>
                <w:rFonts w:hint="eastAsia" w:ascii="宋体" w:hAnsi="宋体" w:cs="宋体"/>
                <w:bCs/>
                <w:color w:val="auto"/>
                <w:sz w:val="22"/>
                <w:szCs w:val="22"/>
                <w:highlight w:val="none"/>
              </w:rPr>
              <w:t>2</w:t>
            </w:r>
          </w:p>
        </w:tc>
        <w:tc>
          <w:tcPr>
            <w:tcW w:w="4629" w:type="dxa"/>
            <w:noWrap w:val="0"/>
            <w:vAlign w:val="center"/>
          </w:tcPr>
          <w:p>
            <w:pPr>
              <w:widowControl/>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齿厚游标卡尺</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bCs/>
                <w:color w:val="auto"/>
                <w:kern w:val="2"/>
                <w:sz w:val="22"/>
                <w:szCs w:val="22"/>
                <w:highlight w:val="none"/>
                <w:lang w:val="en-US" w:eastAsia="zh-CN" w:bidi="ar-SA"/>
              </w:rPr>
            </w:pPr>
            <w:r>
              <w:rPr>
                <w:rFonts w:hint="eastAsia" w:ascii="宋体" w:hAnsi="宋体" w:cs="宋体"/>
                <w:bCs/>
                <w:color w:val="auto"/>
                <w:sz w:val="22"/>
                <w:szCs w:val="22"/>
                <w:highlight w:val="none"/>
              </w:rPr>
              <w:t>3</w:t>
            </w:r>
          </w:p>
        </w:tc>
        <w:tc>
          <w:tcPr>
            <w:tcW w:w="4629" w:type="dxa"/>
            <w:noWrap w:val="0"/>
            <w:vAlign w:val="center"/>
          </w:tcPr>
          <w:p>
            <w:pPr>
              <w:widowControl/>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跳动检查仪</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1套</w:t>
            </w:r>
          </w:p>
        </w:tc>
        <w:tc>
          <w:tcPr>
            <w:tcW w:w="2265" w:type="dxa"/>
            <w:noWrap w:val="0"/>
            <w:vAlign w:val="center"/>
          </w:tcPr>
          <w:p>
            <w:pPr>
              <w:widowControl/>
              <w:jc w:val="center"/>
              <w:textAlignment w:val="center"/>
              <w:rPr>
                <w:rFonts w:hint="eastAsia" w:ascii="宋体" w:hAnsi="宋体" w:cs="宋体"/>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91" w:type="dxa"/>
            <w:noWrap w:val="0"/>
            <w:vAlign w:val="center"/>
          </w:tcPr>
          <w:p>
            <w:pPr>
              <w:spacing w:line="360" w:lineRule="exact"/>
              <w:jc w:val="center"/>
              <w:rPr>
                <w:rFonts w:hint="eastAsia" w:ascii="宋体" w:hAnsi="宋体" w:cs="宋体"/>
                <w:bCs/>
                <w:color w:val="auto"/>
                <w:kern w:val="2"/>
                <w:sz w:val="22"/>
                <w:szCs w:val="22"/>
                <w:highlight w:val="none"/>
                <w:lang w:val="en-US" w:eastAsia="zh-CN" w:bidi="ar-SA"/>
              </w:rPr>
            </w:pPr>
            <w:r>
              <w:rPr>
                <w:rFonts w:hint="eastAsia" w:ascii="宋体" w:hAnsi="宋体" w:cs="宋体"/>
                <w:bCs/>
                <w:color w:val="auto"/>
                <w:sz w:val="22"/>
                <w:szCs w:val="22"/>
                <w:highlight w:val="none"/>
              </w:rPr>
              <w:t>4</w:t>
            </w:r>
          </w:p>
        </w:tc>
        <w:tc>
          <w:tcPr>
            <w:tcW w:w="4629" w:type="dxa"/>
            <w:noWrap w:val="0"/>
            <w:vAlign w:val="center"/>
          </w:tcPr>
          <w:p>
            <w:pPr>
              <w:widowControl/>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表面粗糙度测量仪</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1套</w:t>
            </w:r>
          </w:p>
        </w:tc>
        <w:tc>
          <w:tcPr>
            <w:tcW w:w="2265" w:type="dxa"/>
            <w:noWrap w:val="0"/>
            <w:vAlign w:val="center"/>
          </w:tcPr>
          <w:p>
            <w:pPr>
              <w:widowControl/>
              <w:jc w:val="center"/>
              <w:textAlignment w:val="center"/>
              <w:rPr>
                <w:rFonts w:hint="eastAsia" w:ascii="宋体" w:hAnsi="宋体" w:cs="宋体"/>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5</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量块（46块组）</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18盒</w:t>
            </w:r>
          </w:p>
        </w:tc>
        <w:tc>
          <w:tcPr>
            <w:tcW w:w="2265" w:type="dxa"/>
            <w:noWrap w:val="0"/>
            <w:vAlign w:val="center"/>
          </w:tcPr>
          <w:p>
            <w:pPr>
              <w:widowControl/>
              <w:jc w:val="center"/>
              <w:textAlignment w:val="center"/>
              <w:rPr>
                <w:rFonts w:hint="eastAsia" w:ascii="宋体" w:hAnsi="宋体" w:cs="宋体"/>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6</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量块（83块组）</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18盒</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7</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内径百分表</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8</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外径千分尺（25-50）</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9</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外径千分尺（0-25，125-150）</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10</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螺纹千分尺（0-25）</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11</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公法线千分尺（25-50）</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12</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双面啮合综合检查仪</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13</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宽座角尺（80*50）</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14把</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14</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正弦规</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15</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指示表及表座</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14套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16</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杠杆齿轮比较仪</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17</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杠杆齿轮比较座</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18套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18</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color w:val="auto"/>
                <w:sz w:val="22"/>
                <w:szCs w:val="22"/>
                <w:highlight w:val="none"/>
              </w:rPr>
              <w:t>机构运动简图测绘模型1</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2套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19</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color w:val="auto"/>
                <w:sz w:val="22"/>
                <w:szCs w:val="22"/>
                <w:highlight w:val="none"/>
              </w:rPr>
              <w:t>机构运动简图测绘模型2</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2套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20</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color w:val="auto"/>
                <w:sz w:val="22"/>
                <w:szCs w:val="22"/>
                <w:highlight w:val="none"/>
              </w:rPr>
              <w:t>齿轮范成仪</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40台</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eastAsia" w:ascii="宋体" w:hAnsi="宋体" w:cs="宋体"/>
                <w:color w:val="auto"/>
                <w:kern w:val="2"/>
                <w:sz w:val="22"/>
                <w:szCs w:val="22"/>
                <w:highlight w:val="none"/>
                <w:lang w:val="en-US" w:eastAsia="zh-CN" w:bidi="ar-SA"/>
              </w:rPr>
            </w:pPr>
            <w:r>
              <w:rPr>
                <w:rFonts w:hint="eastAsia" w:ascii="宋体" w:hAnsi="宋体" w:cs="宋体"/>
                <w:color w:val="auto"/>
                <w:sz w:val="22"/>
                <w:szCs w:val="22"/>
                <w:highlight w:val="none"/>
              </w:rPr>
              <w:t>21</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color w:val="auto"/>
                <w:sz w:val="22"/>
                <w:szCs w:val="22"/>
                <w:highlight w:val="none"/>
              </w:rPr>
              <w:t>渐开线齿轮参数测定实验箱</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6套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91" w:type="dxa"/>
            <w:noWrap w:val="0"/>
            <w:vAlign w:val="center"/>
          </w:tcPr>
          <w:p>
            <w:pPr>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22</w:t>
            </w:r>
          </w:p>
        </w:tc>
        <w:tc>
          <w:tcPr>
            <w:tcW w:w="4629" w:type="dxa"/>
            <w:noWrap w:val="0"/>
            <w:vAlign w:val="center"/>
          </w:tcPr>
          <w:p>
            <w:pPr>
              <w:widowControl/>
              <w:jc w:val="center"/>
              <w:textAlignment w:val="center"/>
              <w:rPr>
                <w:rFonts w:hint="eastAsia" w:ascii="宋体" w:hAnsi="宋体" w:cs="宋体"/>
                <w:color w:val="auto"/>
                <w:sz w:val="22"/>
                <w:szCs w:val="22"/>
                <w:highlight w:val="none"/>
              </w:rPr>
            </w:pPr>
            <w:r>
              <w:rPr>
                <w:rFonts w:hint="eastAsia"/>
                <w:color w:val="auto"/>
                <w:sz w:val="22"/>
                <w:szCs w:val="22"/>
                <w:highlight w:val="none"/>
              </w:rPr>
              <w:t>创意组合式铝轴系结构设计实验箱</w:t>
            </w:r>
          </w:p>
        </w:tc>
        <w:tc>
          <w:tcPr>
            <w:tcW w:w="1246" w:type="dxa"/>
            <w:noWrap w:val="0"/>
            <w:vAlign w:val="center"/>
          </w:tcPr>
          <w:p>
            <w:pPr>
              <w:widowControl/>
              <w:jc w:val="center"/>
              <w:textAlignment w:val="center"/>
              <w:rPr>
                <w:rFonts w:hint="eastAsia" w:ascii="宋体" w:hAnsi="宋体" w:cs="宋体"/>
                <w:color w:val="auto"/>
                <w:sz w:val="22"/>
                <w:szCs w:val="22"/>
                <w:highlight w:val="none"/>
              </w:rPr>
            </w:pPr>
            <w:r>
              <w:rPr>
                <w:rFonts w:hint="eastAsia" w:ascii="宋体" w:hAnsi="宋体" w:cs="宋体"/>
                <w:color w:val="auto"/>
                <w:sz w:val="22"/>
                <w:szCs w:val="22"/>
                <w:highlight w:val="none"/>
              </w:rPr>
              <w:t>7套</w:t>
            </w:r>
          </w:p>
        </w:tc>
        <w:tc>
          <w:tcPr>
            <w:tcW w:w="2265" w:type="dxa"/>
            <w:noWrap w:val="0"/>
            <w:vAlign w:val="center"/>
          </w:tcPr>
          <w:p>
            <w:pPr>
              <w:widowControl/>
              <w:jc w:val="center"/>
              <w:textAlignment w:val="center"/>
              <w:rPr>
                <w:rFonts w:hint="eastAsia" w:ascii="宋体" w:hAnsi="宋体" w:cs="宋体"/>
                <w:color w:val="auto"/>
                <w:kern w:val="0"/>
                <w:sz w:val="22"/>
                <w:szCs w:val="22"/>
                <w:highlight w:val="none"/>
              </w:rPr>
            </w:pPr>
          </w:p>
        </w:tc>
      </w:tr>
    </w:tbl>
    <w:p>
      <w:pPr>
        <w:snapToGrid w:val="0"/>
        <w:spacing w:line="360" w:lineRule="exact"/>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（二）设备参数</w:t>
      </w:r>
    </w:p>
    <w:bookmarkEnd w:id="0"/>
    <w:p>
      <w:pPr>
        <w:spacing w:line="360" w:lineRule="exact"/>
        <w:ind w:firstLine="442" w:firstLineChars="200"/>
        <w:rPr>
          <w:rFonts w:hint="eastAsia" w:ascii="宋体" w:hAnsi="宋体" w:cs="宋体"/>
          <w:color w:val="auto"/>
          <w:sz w:val="22"/>
          <w:szCs w:val="22"/>
          <w:highlight w:val="none"/>
        </w:rPr>
      </w:pPr>
      <w:r>
        <w:rPr>
          <w:rFonts w:hint="eastAsia" w:ascii="宋体" w:hAnsi="宋体" w:cs="宋体"/>
          <w:b/>
          <w:color w:val="auto"/>
          <w:sz w:val="22"/>
          <w:szCs w:val="22"/>
          <w:highlight w:val="none"/>
        </w:rPr>
        <w:t>1、游标卡尺</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游标卡尺0-150mm0.02</w:t>
      </w:r>
    </w:p>
    <w:p>
      <w:pPr>
        <w:numPr>
          <w:ilvl w:val="0"/>
          <w:numId w:val="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采用优质碳钢或不锈钢制造 </w:t>
      </w:r>
    </w:p>
    <w:p>
      <w:pPr>
        <w:numPr>
          <w:ilvl w:val="0"/>
          <w:numId w:val="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可测量内、外尺寸、深度及台阶等</w:t>
      </w:r>
    </w:p>
    <w:p>
      <w:pPr>
        <w:numPr>
          <w:ilvl w:val="0"/>
          <w:numId w:val="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主尺、尺框刻线面无光镀珞</w:t>
      </w:r>
    </w:p>
    <w:p>
      <w:pPr>
        <w:numPr>
          <w:ilvl w:val="0"/>
          <w:numId w:val="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主尺、尺框整体热处理，测量面淬硬</w:t>
      </w:r>
    </w:p>
    <w:p>
      <w:pPr>
        <w:numPr>
          <w:ilvl w:val="0"/>
          <w:numId w:val="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符合GB标准</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rPr>
        <w:t>2、</w:t>
      </w:r>
      <w:r>
        <w:rPr>
          <w:rFonts w:hint="eastAsia" w:ascii="宋体" w:hAnsi="宋体" w:cs="宋体"/>
          <w:b/>
          <w:bCs/>
          <w:color w:val="auto"/>
          <w:kern w:val="0"/>
          <w:sz w:val="22"/>
          <w:szCs w:val="22"/>
          <w:highlight w:val="none"/>
          <w:lang w:bidi="ar"/>
        </w:rPr>
        <w:t>齿厚游标卡尺</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测量范围：M1-26，辨别力0.02mm</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采用优质不锈钢制造 </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主尺、尺框刻线面无光镀珞</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主尺、尺框整体热处理，测量面淬硬</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带微动滚轮，测量快速方便</w:t>
      </w:r>
    </w:p>
    <w:p>
      <w:pPr>
        <w:numPr>
          <w:ilvl w:val="0"/>
          <w:numId w:val="4"/>
        </w:numPr>
        <w:spacing w:line="360" w:lineRule="exact"/>
        <w:ind w:left="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符合GB标准</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3、</w:t>
      </w:r>
      <w:r>
        <w:rPr>
          <w:rFonts w:hint="eastAsia" w:ascii="宋体" w:hAnsi="宋体" w:cs="宋体"/>
          <w:b/>
          <w:color w:val="auto"/>
          <w:sz w:val="22"/>
          <w:szCs w:val="22"/>
          <w:highlight w:val="none"/>
        </w:rPr>
        <w:t>跳动测量仪</w:t>
      </w:r>
    </w:p>
    <w:p>
      <w:pPr>
        <w:numPr>
          <w:ilvl w:val="0"/>
          <w:numId w:val="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★用途：本仪器主要用于齿轮加工现场或车间检查站测量圆柱齿轮或圆锥齿轮的径向跳动，同时也可以用于测量回转类零件的轴向跳动误差与径向跳动误差。</w:t>
      </w:r>
    </w:p>
    <w:p>
      <w:pPr>
        <w:numPr>
          <w:ilvl w:val="0"/>
          <w:numId w:val="5"/>
        </w:numPr>
        <w:spacing w:line="360" w:lineRule="exact"/>
        <w:ind w:left="0" w:firstLine="440" w:firstLineChars="200"/>
        <w:rPr>
          <w:rFonts w:hint="eastAsia" w:ascii="宋体" w:hAnsi="宋体" w:cs="宋体"/>
          <w:bCs/>
          <w:color w:val="auto"/>
          <w:sz w:val="22"/>
          <w:szCs w:val="22"/>
          <w:highlight w:val="none"/>
        </w:rPr>
      </w:pPr>
      <w:r>
        <w:rPr>
          <w:rFonts w:hint="eastAsia" w:ascii="宋体" w:hAnsi="宋体" w:cs="宋体"/>
          <w:bCs/>
          <w:color w:val="auto"/>
          <w:sz w:val="22"/>
          <w:szCs w:val="22"/>
          <w:highlight w:val="none"/>
        </w:rPr>
        <w:t>特点</w:t>
      </w:r>
      <w:r>
        <w:rPr>
          <w:rFonts w:hint="eastAsia" w:ascii="宋体" w:hAnsi="宋体" w:cs="宋体"/>
          <w:bCs/>
          <w:color w:val="auto"/>
          <w:sz w:val="22"/>
          <w:szCs w:val="22"/>
          <w:highlight w:val="none"/>
        </w:rPr>
        <w:tab/>
      </w:r>
    </w:p>
    <w:p>
      <w:pPr>
        <w:numPr>
          <w:ilvl w:val="0"/>
          <w:numId w:val="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导轨面采用磨削后刮研工艺，精度高，美观耐用。</w:t>
      </w:r>
    </w:p>
    <w:p>
      <w:pPr>
        <w:numPr>
          <w:ilvl w:val="0"/>
          <w:numId w:val="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测量力及测量方向可调，并配有多种尺寸的测头。</w:t>
      </w:r>
    </w:p>
    <w:p>
      <w:pPr>
        <w:numPr>
          <w:ilvl w:val="0"/>
          <w:numId w:val="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适用不同类型的齿轮。</w:t>
      </w:r>
    </w:p>
    <w:p>
      <w:pPr>
        <w:numPr>
          <w:ilvl w:val="0"/>
          <w:numId w:val="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纯机械结构，千分表示值，读数直观，操作方便。</w:t>
      </w:r>
    </w:p>
    <w:p>
      <w:pPr>
        <w:numPr>
          <w:ilvl w:val="0"/>
          <w:numId w:val="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技术规格</w:t>
      </w:r>
    </w:p>
    <w:p>
      <w:pPr>
        <w:numPr>
          <w:ilvl w:val="0"/>
          <w:numId w:val="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可测齿轮直径10-200mm</w:t>
      </w:r>
    </w:p>
    <w:p>
      <w:pPr>
        <w:numPr>
          <w:ilvl w:val="0"/>
          <w:numId w:val="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左右两端顶尖距离0-200mm </w:t>
      </w:r>
    </w:p>
    <w:p>
      <w:pPr>
        <w:numPr>
          <w:ilvl w:val="0"/>
          <w:numId w:val="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可测齿轮模数0.5-8 </w:t>
      </w:r>
    </w:p>
    <w:p>
      <w:pPr>
        <w:numPr>
          <w:ilvl w:val="0"/>
          <w:numId w:val="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仪器组成</w:t>
      </w:r>
    </w:p>
    <w:p>
      <w:pPr>
        <w:numPr>
          <w:ilvl w:val="0"/>
          <w:numId w:val="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测量主机：1台</w:t>
      </w:r>
    </w:p>
    <w:p>
      <w:pPr>
        <w:numPr>
          <w:ilvl w:val="0"/>
          <w:numId w:val="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千分表：1块（测量范围：0-1mm  分度值：0.001）</w:t>
      </w:r>
    </w:p>
    <w:p>
      <w:pPr>
        <w:numPr>
          <w:ilvl w:val="0"/>
          <w:numId w:val="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测头:ф0.8锥形、ф1.2、ф2、ф3、ф4</w:t>
      </w:r>
    </w:p>
    <w:p>
      <w:pPr>
        <w:numPr>
          <w:ilvl w:val="0"/>
          <w:numId w:val="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ф5、Φ6、ф8、ф10、ф12，各1件</w:t>
      </w:r>
    </w:p>
    <w:p>
      <w:pPr>
        <w:numPr>
          <w:ilvl w:val="0"/>
          <w:numId w:val="8"/>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被测工件-阶梯轴：轴向跳动公差0.005mm，径向跳动公差0.03mm。材料45钢或40Cr</w:t>
      </w:r>
    </w:p>
    <w:p>
      <w:pPr>
        <w:numPr>
          <w:ilvl w:val="0"/>
          <w:numId w:val="8"/>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被测齿轮：标准直齿圆柱齿轮，模数4mm，齿数24，齿宽20mm、公差标准8GB/T10095.2、孔径20mm、配合心轴直径20mm，长度120~130mm、材料铝制。</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4</w:t>
      </w:r>
      <w:r>
        <w:rPr>
          <w:rFonts w:hint="eastAsia" w:ascii="宋体" w:hAnsi="宋体" w:cs="宋体"/>
          <w:b/>
          <w:color w:val="auto"/>
          <w:sz w:val="22"/>
          <w:szCs w:val="22"/>
          <w:highlight w:val="none"/>
        </w:rPr>
        <w:t>、表面粗糙度测量仪</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本仪器是评定零件表面质量的台式粗糙度测量仪，可对多种零件表面的粗糙度进行测量，包括平面，斜面、外圆柱面、内孔表面、深槽表面、轴承轨道等实现了表面粗糙度的多功能精密测量。</w:t>
      </w:r>
    </w:p>
    <w:p>
      <w:pPr>
        <w:numPr>
          <w:ilvl w:val="0"/>
          <w:numId w:val="9"/>
        </w:numPr>
        <w:spacing w:line="360" w:lineRule="exact"/>
        <w:ind w:left="0" w:firstLine="418" w:firstLineChars="200"/>
        <w:rPr>
          <w:rFonts w:hint="eastAsia" w:ascii="宋体" w:hAnsi="宋体" w:cs="宋体"/>
          <w:bCs/>
          <w:color w:val="auto"/>
          <w:spacing w:val="-6"/>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仪器</w:t>
      </w:r>
      <w:r>
        <w:rPr>
          <w:rFonts w:hint="eastAsia" w:ascii="宋体" w:hAnsi="宋体" w:cs="宋体"/>
          <w:bCs/>
          <w:color w:val="auto"/>
          <w:spacing w:val="-6"/>
          <w:sz w:val="22"/>
          <w:szCs w:val="22"/>
          <w:highlight w:val="none"/>
        </w:rPr>
        <w:t>组成：立柱1台 驱动箱1套 传感器（标准、深槽各1支） 电箱1套 、微机、打印机各1套 V型工作台1套 调斜工作台1套 校对样块 2块 、被测工件、实验室用桌椅。</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测量原理：触针法，电感传感器</w:t>
      </w:r>
    </w:p>
    <w:p>
      <w:pPr>
        <w:numPr>
          <w:ilvl w:val="0"/>
          <w:numId w:val="9"/>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测量范围：垂直：4μm/40μm/400μm;水平：1μm</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表面粗糙度Ra示值误差：≤±5%</w:t>
      </w:r>
    </w:p>
    <w:p>
      <w:pPr>
        <w:numPr>
          <w:ilvl w:val="0"/>
          <w:numId w:val="9"/>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最小分辨力：垂直：0.06mm 水平：1μm</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取样长度：0.25mm，0.8mm，2.5mm</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评定长度：N倍取样长度 N=1,2,3,4,5</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数字滤波器：高斯、2RC、相位校正、二乘、不滤波</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粗糙度测量参数：Ra Rc Rp Rz Rq Rsm Rt Rsk Rku Rdq Rmr(符合GB/T3505-2009)</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轮廓图形:Z直接轮廓 滤波轮廓 Rmr曲线 幅度分布曲线</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轮廓图形的垂直放大倍率：1-500000可选 亦可手动输入</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轮廓图形的水平放大倍率：1-5000可选 亦可手动输入</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驱动箱滑行速度：0.2mm/s 0.5mm/s</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传感器返回形式：手动，自动</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传感器测针：金刚石圆锥，锥角90° 针尖半径2μm</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立柱结构：手动升降</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立柱垂直测量高度：280mm</w:t>
      </w:r>
    </w:p>
    <w:p>
      <w:pPr>
        <w:numPr>
          <w:ilvl w:val="0"/>
          <w:numId w:val="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工作底台（长*宽）：720mm*460mm，大理石平台</w:t>
      </w:r>
    </w:p>
    <w:p>
      <w:pPr>
        <w:numPr>
          <w:ilvl w:val="0"/>
          <w:numId w:val="9"/>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被测工件-光轴：光轴3根，材料40Cr,长度140~150mm，直径20~35mm，分别给定不同的Ra值。</w:t>
      </w:r>
    </w:p>
    <w:p>
      <w:pPr>
        <w:numPr>
          <w:ilvl w:val="0"/>
          <w:numId w:val="9"/>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被测工件-阶梯轴：工件总数量14，长度约110mm，对应各个轴段的直径公差</w:t>
      </w:r>
      <m:oMath>
        <m:r>
          <m:rPr/>
          <w:rPr>
            <w:rFonts w:hint="default" w:ascii="Cambria Math" w:hAnsi="Cambria Math" w:cs="宋体"/>
            <w:sz w:val="22"/>
          </w:rPr>
          <m:t>∅</m:t>
        </m:r>
      </m:oMath>
      <w:r>
        <w:rPr>
          <w:rFonts w:hint="eastAsia" w:ascii="宋体" w:hAnsi="宋体" w:cs="宋体"/>
          <w:color w:val="auto"/>
          <w:sz w:val="22"/>
          <w:szCs w:val="22"/>
          <w:highlight w:val="none"/>
        </w:rPr>
        <w:t>35h13，</w:t>
      </w:r>
      <m:oMath>
        <m:r>
          <m:rPr/>
          <w:rPr>
            <w:rFonts w:hint="default" w:ascii="Cambria Math" w:hAnsi="Cambria Math" w:cs="宋体"/>
            <w:sz w:val="22"/>
          </w:rPr>
          <m:t>∅</m:t>
        </m:r>
      </m:oMath>
      <w:r>
        <w:rPr>
          <w:rFonts w:hint="eastAsia" w:ascii="宋体" w:hAnsi="宋体" w:cs="宋体"/>
          <w:color w:val="auto"/>
          <w:sz w:val="22"/>
          <w:szCs w:val="22"/>
          <w:highlight w:val="none"/>
        </w:rPr>
        <w:t>45h10，</w:t>
      </w:r>
      <m:oMath>
        <m:r>
          <m:rPr/>
          <w:rPr>
            <w:rFonts w:hint="default" w:ascii="Cambria Math" w:hAnsi="Cambria Math" w:cs="宋体"/>
            <w:sz w:val="22"/>
          </w:rPr>
          <m:t>∅</m:t>
        </m:r>
      </m:oMath>
      <w:r>
        <w:rPr>
          <w:rFonts w:hint="eastAsia" w:ascii="宋体" w:hAnsi="宋体" w:cs="宋体"/>
          <w:color w:val="auto"/>
          <w:sz w:val="22"/>
          <w:szCs w:val="22"/>
          <w:highlight w:val="none"/>
        </w:rPr>
        <w:t>35js10，工件材料45钢或40Cr。</w:t>
      </w:r>
    </w:p>
    <w:p>
      <w:pPr>
        <w:numPr>
          <w:ilvl w:val="0"/>
          <w:numId w:val="9"/>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被测工件-平板件；工件总数量14，平板尺寸65*65*12mm（带4个M8螺纹孔与4个检验螺钉），材料45钢或40Cr。</w:t>
      </w:r>
    </w:p>
    <w:p>
      <w:pPr>
        <w:numPr>
          <w:ilvl w:val="0"/>
          <w:numId w:val="9"/>
        </w:numPr>
        <w:spacing w:line="360" w:lineRule="exact"/>
        <w:ind w:left="0" w:firstLine="418" w:firstLineChars="200"/>
        <w:rPr>
          <w:color w:val="auto"/>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实验室用桌椅：</w:t>
      </w:r>
    </w:p>
    <w:p>
      <w:pPr>
        <w:rPr>
          <w:color w:val="auto"/>
          <w:highlight w:val="none"/>
        </w:rPr>
      </w:pPr>
    </w:p>
    <w:tbl>
      <w:tblPr>
        <w:tblStyle w:val="13"/>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3326"/>
        <w:gridCol w:w="70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noWrap w:val="0"/>
            <w:vAlign w:val="top"/>
          </w:tcPr>
          <w:p>
            <w:pPr>
              <w:pStyle w:val="2"/>
              <w:ind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名称</w:t>
            </w:r>
          </w:p>
        </w:tc>
        <w:tc>
          <w:tcPr>
            <w:tcW w:w="3326" w:type="dxa"/>
            <w:noWrap w:val="0"/>
            <w:vAlign w:val="top"/>
          </w:tcPr>
          <w:p>
            <w:pPr>
              <w:pStyle w:val="2"/>
              <w:ind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参考图片</w:t>
            </w:r>
          </w:p>
        </w:tc>
        <w:tc>
          <w:tcPr>
            <w:tcW w:w="709" w:type="dxa"/>
            <w:noWrap w:val="0"/>
            <w:vAlign w:val="top"/>
          </w:tcPr>
          <w:p>
            <w:pPr>
              <w:pStyle w:val="2"/>
              <w:ind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数量</w:t>
            </w:r>
          </w:p>
        </w:tc>
        <w:tc>
          <w:tcPr>
            <w:tcW w:w="3969" w:type="dxa"/>
            <w:noWrap w:val="0"/>
            <w:vAlign w:val="top"/>
          </w:tcPr>
          <w:p>
            <w:pPr>
              <w:pStyle w:val="2"/>
              <w:ind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182"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大桌</w:t>
            </w:r>
          </w:p>
        </w:tc>
        <w:tc>
          <w:tcPr>
            <w:tcW w:w="3326" w:type="dxa"/>
            <w:noWrap w:val="0"/>
            <w:vAlign w:val="top"/>
          </w:tcPr>
          <w:p>
            <w:pPr>
              <w:pStyle w:val="2"/>
              <w:ind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807210" cy="1342390"/>
                  <wp:effectExtent l="0" t="0" r="2540" b="1016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6"/>
                          <a:stretch>
                            <a:fillRect/>
                          </a:stretch>
                        </pic:blipFill>
                        <pic:spPr>
                          <a:xfrm>
                            <a:off x="0" y="0"/>
                            <a:ext cx="1807210" cy="1342390"/>
                          </a:xfrm>
                          <a:prstGeom prst="rect">
                            <a:avLst/>
                          </a:prstGeom>
                          <a:noFill/>
                          <a:ln>
                            <a:noFill/>
                          </a:ln>
                        </pic:spPr>
                      </pic:pic>
                    </a:graphicData>
                  </a:graphic>
                </wp:inline>
              </w:drawing>
            </w:r>
          </w:p>
        </w:tc>
        <w:tc>
          <w:tcPr>
            <w:tcW w:w="709"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6</w:t>
            </w:r>
            <w:r>
              <w:rPr>
                <w:rFonts w:hint="eastAsia" w:ascii="宋体" w:hAnsi="宋体" w:eastAsia="宋体" w:cs="宋体"/>
                <w:color w:val="auto"/>
                <w:sz w:val="22"/>
                <w:szCs w:val="22"/>
                <w:highlight w:val="none"/>
              </w:rPr>
              <w:t>张</w:t>
            </w:r>
          </w:p>
        </w:tc>
        <w:tc>
          <w:tcPr>
            <w:tcW w:w="3969"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（1）长2000mm*宽1000mm*高740mm</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（2）桌面采用50mm厚密度板，面板侧面用5mm厚纯橡胶镶边。</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（3）桌架采用标厚1.5mm冷轧钢</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（4）钢制调节脚</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（5）承重应不小于每平米250公斤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1182"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学生用凳子</w:t>
            </w:r>
          </w:p>
        </w:tc>
        <w:tc>
          <w:tcPr>
            <w:tcW w:w="3326" w:type="dxa"/>
            <w:noWrap w:val="0"/>
            <w:vAlign w:val="top"/>
          </w:tcPr>
          <w:p>
            <w:pPr>
              <w:pStyle w:val="2"/>
              <w:ind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017270" cy="956945"/>
                  <wp:effectExtent l="0" t="0" r="11430" b="14605"/>
                  <wp:docPr id="2" name="图片 5" descr="c280d1593e86fa98d911f8ac876a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280d1593e86fa98d911f8ac876a4ec"/>
                          <pic:cNvPicPr>
                            <a:picLocks noChangeAspect="1"/>
                          </pic:cNvPicPr>
                        </pic:nvPicPr>
                        <pic:blipFill>
                          <a:blip r:embed="rId7"/>
                          <a:stretch>
                            <a:fillRect/>
                          </a:stretch>
                        </pic:blipFill>
                        <pic:spPr>
                          <a:xfrm>
                            <a:off x="0" y="0"/>
                            <a:ext cx="1017270" cy="956945"/>
                          </a:xfrm>
                          <a:prstGeom prst="rect">
                            <a:avLst/>
                          </a:prstGeom>
                          <a:noFill/>
                          <a:ln>
                            <a:noFill/>
                          </a:ln>
                        </pic:spPr>
                      </pic:pic>
                    </a:graphicData>
                  </a:graphic>
                </wp:inline>
              </w:drawing>
            </w:r>
          </w:p>
        </w:tc>
        <w:tc>
          <w:tcPr>
            <w:tcW w:w="709"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40</w:t>
            </w:r>
            <w:r>
              <w:rPr>
                <w:rFonts w:hint="eastAsia" w:ascii="宋体" w:hAnsi="宋体" w:eastAsia="宋体" w:cs="宋体"/>
                <w:color w:val="auto"/>
                <w:sz w:val="22"/>
                <w:szCs w:val="22"/>
                <w:highlight w:val="none"/>
              </w:rPr>
              <w:t>张</w:t>
            </w:r>
          </w:p>
        </w:tc>
        <w:tc>
          <w:tcPr>
            <w:tcW w:w="3969"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1、结构：凳子采用钢木结构；规格（长宽高）：340mm ×240×420mm。</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2、凳面材质：采用25mmE1级优质三聚氰胺贴面板PVC封边；凳脚材质：采用优质方钢，厚度δ≥1.0 mm，底脚均应采用耐磨防滑护套装置；</w:t>
            </w:r>
          </w:p>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3、载荷能力：不小于1000N、无严重变形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2"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教师桌</w:t>
            </w:r>
          </w:p>
        </w:tc>
        <w:tc>
          <w:tcPr>
            <w:tcW w:w="3326"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bCs/>
                <w:color w:val="auto"/>
                <w:sz w:val="22"/>
                <w:szCs w:val="22"/>
                <w:highlight w:val="none"/>
              </w:rPr>
              <w:drawing>
                <wp:inline distT="0" distB="0" distL="114300" distR="114300">
                  <wp:extent cx="1326515" cy="1148715"/>
                  <wp:effectExtent l="0" t="0" r="6985" b="133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1326515" cy="1148715"/>
                          </a:xfrm>
                          <a:prstGeom prst="rect">
                            <a:avLst/>
                          </a:prstGeom>
                          <a:noFill/>
                          <a:ln>
                            <a:noFill/>
                          </a:ln>
                        </pic:spPr>
                      </pic:pic>
                    </a:graphicData>
                  </a:graphic>
                </wp:inline>
              </w:drawing>
            </w:r>
          </w:p>
        </w:tc>
        <w:tc>
          <w:tcPr>
            <w:tcW w:w="709" w:type="dxa"/>
            <w:noWrap w:val="0"/>
            <w:vAlign w:val="center"/>
          </w:tcPr>
          <w:p>
            <w:pPr>
              <w:pStyle w:val="2"/>
              <w:ind w:leftChars="0"/>
              <w:jc w:val="center"/>
              <w:rPr>
                <w:rFonts w:hint="eastAsia" w:ascii="宋体" w:hAnsi="宋体" w:eastAsia="宋体" w:cs="宋体"/>
                <w:b w:val="0"/>
                <w:color w:val="auto"/>
                <w:sz w:val="22"/>
                <w:szCs w:val="22"/>
                <w:highlight w:val="none"/>
              </w:rPr>
            </w:pPr>
            <w:r>
              <w:rPr>
                <w:rFonts w:hint="eastAsia" w:ascii="宋体" w:hAnsi="宋体" w:eastAsia="宋体" w:cs="宋体"/>
                <w:b w:val="0"/>
                <w:color w:val="auto"/>
                <w:sz w:val="22"/>
                <w:szCs w:val="22"/>
                <w:highlight w:val="none"/>
              </w:rPr>
              <w:t>1</w:t>
            </w:r>
            <w:r>
              <w:rPr>
                <w:rFonts w:hint="eastAsia" w:ascii="宋体" w:hAnsi="宋体" w:eastAsia="宋体" w:cs="宋体"/>
                <w:color w:val="auto"/>
                <w:sz w:val="22"/>
                <w:szCs w:val="22"/>
                <w:highlight w:val="none"/>
              </w:rPr>
              <w:t>张</w:t>
            </w:r>
          </w:p>
        </w:tc>
        <w:tc>
          <w:tcPr>
            <w:tcW w:w="3969"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1.规格（长宽高）：2000×700×800mm；</w:t>
            </w:r>
          </w:p>
          <w:p>
            <w:pPr>
              <w:pStyle w:val="2"/>
              <w:ind w:leftChars="0"/>
              <w:jc w:val="left"/>
              <w:rPr>
                <w:rFonts w:hint="eastAsia" w:ascii="宋体" w:hAnsi="宋体" w:eastAsia="宋体" w:cs="宋体"/>
                <w:b w:val="0"/>
                <w:color w:val="auto"/>
                <w:sz w:val="22"/>
                <w:szCs w:val="22"/>
                <w:highlight w:val="none"/>
                <w:lang w:eastAsia="zh-CN"/>
              </w:rPr>
            </w:pPr>
            <w:r>
              <w:rPr>
                <w:rFonts w:hint="eastAsia" w:ascii="宋体" w:hAnsi="宋体" w:eastAsia="宋体" w:cs="宋体"/>
                <w:b w:val="0"/>
                <w:bCs/>
                <w:color w:val="auto"/>
                <w:sz w:val="22"/>
                <w:szCs w:val="22"/>
                <w:highlight w:val="none"/>
              </w:rPr>
              <w:t>2.材质与加工工艺：（1）桌面板材采用25mm厚双贴面优质三聚氰胺贴面板，E1级环保板芯，2.00mm厚优质PVC截面封边，周边圆弧过渡；（2）桌体左右脚架采用20*40mm方管，钢管厚度1.5mm，脚架中间及后背板部分采用方格形冲孔钢板制作钢板厚度1.0mm，脚下配防滑可调节脚垫</w:t>
            </w:r>
            <w:r>
              <w:rPr>
                <w:rFonts w:hint="eastAsia" w:ascii="宋体" w:hAnsi="宋体" w:eastAsia="宋体" w:cs="宋体"/>
                <w:b w:val="0"/>
                <w:bCs/>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1182"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教师椅子</w:t>
            </w:r>
          </w:p>
        </w:tc>
        <w:tc>
          <w:tcPr>
            <w:tcW w:w="3326"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bCs/>
                <w:color w:val="auto"/>
                <w:sz w:val="22"/>
                <w:szCs w:val="22"/>
                <w:highlight w:val="none"/>
              </w:rPr>
              <w:drawing>
                <wp:anchor distT="0" distB="0" distL="114300" distR="114300" simplePos="0" relativeHeight="251660288" behindDoc="0" locked="0" layoutInCell="1" allowOverlap="1">
                  <wp:simplePos x="0" y="0"/>
                  <wp:positionH relativeFrom="column">
                    <wp:posOffset>108585</wp:posOffset>
                  </wp:positionH>
                  <wp:positionV relativeFrom="paragraph">
                    <wp:posOffset>191135</wp:posOffset>
                  </wp:positionV>
                  <wp:extent cx="962660" cy="1443990"/>
                  <wp:effectExtent l="0" t="0" r="8890" b="3810"/>
                  <wp:wrapSquare wrapText="bothSides"/>
                  <wp:docPr id="3" name="图片 7" descr="206ebcd0d34d95050505cddbabf7d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206ebcd0d34d95050505cddbabf7d93"/>
                          <pic:cNvPicPr>
                            <a:picLocks noChangeAspect="1"/>
                          </pic:cNvPicPr>
                        </pic:nvPicPr>
                        <pic:blipFill>
                          <a:blip r:embed="rId9"/>
                          <a:stretch>
                            <a:fillRect/>
                          </a:stretch>
                        </pic:blipFill>
                        <pic:spPr>
                          <a:xfrm>
                            <a:off x="0" y="0"/>
                            <a:ext cx="962660" cy="1443990"/>
                          </a:xfrm>
                          <a:prstGeom prst="rect">
                            <a:avLst/>
                          </a:prstGeom>
                          <a:noFill/>
                          <a:ln>
                            <a:noFill/>
                          </a:ln>
                        </pic:spPr>
                      </pic:pic>
                    </a:graphicData>
                  </a:graphic>
                </wp:anchor>
              </w:drawing>
            </w:r>
          </w:p>
        </w:tc>
        <w:tc>
          <w:tcPr>
            <w:tcW w:w="709" w:type="dxa"/>
            <w:noWrap w:val="0"/>
            <w:vAlign w:val="center"/>
          </w:tcPr>
          <w:p>
            <w:pPr>
              <w:pStyle w:val="2"/>
              <w:ind w:leftChars="0"/>
              <w:jc w:val="center"/>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w:t>
            </w:r>
            <w:r>
              <w:rPr>
                <w:rFonts w:hint="eastAsia" w:ascii="宋体" w:hAnsi="宋体" w:eastAsia="宋体" w:cs="宋体"/>
                <w:color w:val="auto"/>
                <w:sz w:val="22"/>
                <w:szCs w:val="22"/>
                <w:highlight w:val="none"/>
              </w:rPr>
              <w:t>张</w:t>
            </w:r>
          </w:p>
        </w:tc>
        <w:tc>
          <w:tcPr>
            <w:tcW w:w="3969" w:type="dxa"/>
            <w:noWrap w:val="0"/>
            <w:vAlign w:val="top"/>
          </w:tcPr>
          <w:p>
            <w:pPr>
              <w:pStyle w:val="2"/>
              <w:ind w:leftChars="0"/>
              <w:jc w:val="left"/>
              <w:rPr>
                <w:rFonts w:hint="eastAsia" w:ascii="宋体" w:hAnsi="宋体" w:eastAsia="宋体" w:cs="宋体"/>
                <w:b w:val="0"/>
                <w:bCs/>
                <w:color w:val="auto"/>
                <w:sz w:val="22"/>
                <w:szCs w:val="22"/>
                <w:highlight w:val="none"/>
              </w:rPr>
            </w:pPr>
            <w:r>
              <w:rPr>
                <w:rFonts w:hint="eastAsia" w:ascii="宋体" w:hAnsi="宋体" w:eastAsia="宋体" w:cs="宋体"/>
                <w:b w:val="0"/>
                <w:bCs/>
                <w:color w:val="auto"/>
                <w:sz w:val="22"/>
                <w:szCs w:val="22"/>
                <w:highlight w:val="none"/>
              </w:rPr>
              <w:t>1、背网和座布，耐磨10万转以上；</w:t>
            </w:r>
          </w:p>
          <w:p>
            <w:pPr>
              <w:pStyle w:val="2"/>
              <w:ind w:leftChars="0"/>
              <w:jc w:val="left"/>
              <w:rPr>
                <w:rFonts w:hint="eastAsia" w:ascii="宋体" w:hAnsi="宋体" w:eastAsia="宋体" w:cs="宋体"/>
                <w:b w:val="0"/>
                <w:bCs/>
                <w:color w:val="auto"/>
                <w:sz w:val="22"/>
                <w:szCs w:val="22"/>
                <w:highlight w:val="none"/>
                <w:lang w:eastAsia="zh-CN"/>
              </w:rPr>
            </w:pPr>
            <w:r>
              <w:rPr>
                <w:rFonts w:hint="eastAsia" w:ascii="宋体" w:hAnsi="宋体" w:eastAsia="宋体" w:cs="宋体"/>
                <w:b w:val="0"/>
                <w:bCs/>
                <w:color w:val="auto"/>
                <w:sz w:val="22"/>
                <w:szCs w:val="22"/>
                <w:highlight w:val="none"/>
              </w:rPr>
              <w:t>2、座位内置钢板，内外壳包裹，确保座位舒适透气；</w:t>
            </w:r>
            <w:r>
              <w:rPr>
                <w:rFonts w:hint="eastAsia" w:ascii="宋体" w:hAnsi="宋体" w:eastAsia="宋体" w:cs="宋体"/>
                <w:b w:val="0"/>
                <w:bCs/>
                <w:color w:val="auto"/>
                <w:sz w:val="22"/>
                <w:szCs w:val="22"/>
                <w:highlight w:val="none"/>
              </w:rPr>
              <w:br w:type="textWrapping"/>
            </w:r>
            <w:r>
              <w:rPr>
                <w:rFonts w:hint="eastAsia" w:ascii="宋体" w:hAnsi="宋体" w:eastAsia="宋体" w:cs="宋体"/>
                <w:b w:val="0"/>
                <w:bCs/>
                <w:color w:val="auto"/>
                <w:sz w:val="22"/>
                <w:szCs w:val="22"/>
                <w:highlight w:val="none"/>
              </w:rPr>
              <w:t>3、定型棉密度为70KG/立方米，</w:t>
            </w:r>
            <w:r>
              <w:rPr>
                <w:rFonts w:hint="eastAsia" w:ascii="宋体" w:hAnsi="宋体" w:eastAsia="宋体" w:cs="宋体"/>
                <w:b w:val="0"/>
                <w:bCs/>
                <w:color w:val="auto"/>
                <w:sz w:val="22"/>
                <w:szCs w:val="22"/>
                <w:highlight w:val="none"/>
              </w:rPr>
              <w:br w:type="textWrapping"/>
            </w:r>
            <w:r>
              <w:rPr>
                <w:rFonts w:hint="eastAsia" w:ascii="宋体" w:hAnsi="宋体" w:eastAsia="宋体" w:cs="宋体"/>
                <w:b w:val="0"/>
                <w:bCs/>
                <w:color w:val="auto"/>
                <w:sz w:val="22"/>
                <w:szCs w:val="22"/>
                <w:highlight w:val="none"/>
              </w:rPr>
              <w:t>4、升降扶手，内置金属立柱确保强度，高度可升降60mm满足不同人群需求； 5、背网、座布、定型海绵，安全透气，通过美国加州117阻燃防火测试；</w:t>
            </w:r>
            <w:r>
              <w:rPr>
                <w:rFonts w:hint="eastAsia" w:ascii="宋体" w:hAnsi="宋体" w:eastAsia="宋体" w:cs="宋体"/>
                <w:b w:val="0"/>
                <w:bCs/>
                <w:color w:val="auto"/>
                <w:sz w:val="22"/>
                <w:szCs w:val="22"/>
                <w:highlight w:val="none"/>
              </w:rPr>
              <w:br w:type="textWrapping"/>
            </w:r>
            <w:r>
              <w:rPr>
                <w:rFonts w:hint="eastAsia" w:ascii="宋体" w:hAnsi="宋体" w:eastAsia="宋体" w:cs="宋体"/>
                <w:b w:val="0"/>
                <w:bCs/>
                <w:color w:val="auto"/>
                <w:sz w:val="22"/>
                <w:szCs w:val="22"/>
                <w:highlight w:val="none"/>
              </w:rPr>
              <w:t>6、链接座位与基础支撑的气压棒选用 4级120mm气杆行程超过100mm，确保气压室密闭强度，提高安全性；</w:t>
            </w:r>
            <w:r>
              <w:rPr>
                <w:rFonts w:hint="eastAsia" w:ascii="宋体" w:hAnsi="宋体" w:eastAsia="宋体" w:cs="宋体"/>
                <w:b w:val="0"/>
                <w:bCs/>
                <w:color w:val="auto"/>
                <w:sz w:val="22"/>
                <w:szCs w:val="22"/>
                <w:highlight w:val="none"/>
              </w:rPr>
              <w:br w:type="textWrapping"/>
            </w:r>
            <w:r>
              <w:rPr>
                <w:rFonts w:hint="eastAsia" w:ascii="宋体" w:hAnsi="宋体" w:eastAsia="宋体" w:cs="宋体"/>
                <w:b w:val="0"/>
                <w:bCs/>
                <w:color w:val="auto"/>
                <w:sz w:val="22"/>
                <w:szCs w:val="22"/>
                <w:highlight w:val="none"/>
              </w:rPr>
              <w:t>7、标配底盘可实现椅背与座位同步倾仰</w:t>
            </w:r>
            <w:r>
              <w:rPr>
                <w:rFonts w:hint="eastAsia" w:ascii="宋体" w:hAnsi="宋体" w:eastAsia="宋体" w:cs="宋体"/>
                <w:b w:val="0"/>
                <w:bCs/>
                <w:color w:val="auto"/>
                <w:sz w:val="22"/>
                <w:szCs w:val="22"/>
                <w:highlight w:val="none"/>
                <w:lang w:eastAsia="zh-CN"/>
              </w:rPr>
              <w:t>。</w:t>
            </w:r>
          </w:p>
        </w:tc>
      </w:tr>
    </w:tbl>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5</w:t>
      </w:r>
      <w:r>
        <w:rPr>
          <w:rFonts w:hint="eastAsia" w:ascii="宋体" w:hAnsi="宋体" w:cs="宋体"/>
          <w:b/>
          <w:color w:val="auto"/>
          <w:sz w:val="22"/>
          <w:szCs w:val="22"/>
          <w:highlight w:val="none"/>
        </w:rPr>
        <w:t>、量块（46块组）</w:t>
      </w:r>
    </w:p>
    <w:p>
      <w:pPr>
        <w:numPr>
          <w:ilvl w:val="0"/>
          <w:numId w:val="10"/>
        </w:numPr>
        <w:spacing w:line="360" w:lineRule="exact"/>
        <w:ind w:left="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量块是长度计量的实物基准    </w:t>
      </w:r>
    </w:p>
    <w:p>
      <w:pPr>
        <w:numPr>
          <w:ilvl w:val="0"/>
          <w:numId w:val="1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精度等级1级或2级         </w:t>
      </w:r>
    </w:p>
    <w:p>
      <w:pPr>
        <w:numPr>
          <w:ilvl w:val="0"/>
          <w:numId w:val="1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量块的各项精度指标符合国家标准GB/T6093及国际标准</w:t>
      </w:r>
    </w:p>
    <w:p>
      <w:pPr>
        <w:spacing w:line="360" w:lineRule="exact"/>
        <w:ind w:firstLine="442" w:firstLineChars="200"/>
        <w:rPr>
          <w:rFonts w:hint="eastAsia" w:ascii="宋体" w:hAnsi="宋体" w:cs="宋体"/>
          <w:bCs/>
          <w:color w:val="auto"/>
          <w:sz w:val="22"/>
          <w:szCs w:val="22"/>
          <w:highlight w:val="none"/>
        </w:rPr>
      </w:pPr>
      <w:r>
        <w:rPr>
          <w:rFonts w:hint="eastAsia" w:ascii="宋体" w:hAnsi="宋体" w:cs="宋体"/>
          <w:b/>
          <w:color w:val="auto"/>
          <w:sz w:val="22"/>
          <w:szCs w:val="22"/>
          <w:highlight w:val="none"/>
          <w:lang w:val="en-US" w:eastAsia="zh-CN"/>
        </w:rPr>
        <w:t>6</w:t>
      </w:r>
      <w:r>
        <w:rPr>
          <w:rFonts w:hint="eastAsia" w:ascii="宋体" w:hAnsi="宋体" w:cs="宋体"/>
          <w:b/>
          <w:color w:val="auto"/>
          <w:sz w:val="22"/>
          <w:szCs w:val="22"/>
          <w:highlight w:val="none"/>
        </w:rPr>
        <w:t>、量块（83块组）</w:t>
      </w:r>
      <w:r>
        <w:rPr>
          <w:rFonts w:hint="eastAsia" w:ascii="宋体" w:hAnsi="宋体" w:cs="宋体"/>
          <w:bCs/>
          <w:color w:val="auto"/>
          <w:sz w:val="22"/>
          <w:szCs w:val="22"/>
          <w:highlight w:val="none"/>
        </w:rPr>
        <w:t xml:space="preserve"> </w:t>
      </w:r>
    </w:p>
    <w:p>
      <w:pPr>
        <w:numPr>
          <w:ilvl w:val="0"/>
          <w:numId w:val="11"/>
        </w:numPr>
        <w:spacing w:line="360" w:lineRule="exact"/>
        <w:ind w:left="0"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量块是长度计量的实物基准</w:t>
      </w:r>
    </w:p>
    <w:p>
      <w:pPr>
        <w:numPr>
          <w:ilvl w:val="0"/>
          <w:numId w:val="11"/>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精度等级1级或2级             </w:t>
      </w:r>
    </w:p>
    <w:p>
      <w:pPr>
        <w:numPr>
          <w:ilvl w:val="0"/>
          <w:numId w:val="11"/>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量块的各项精度指标符合国家标准GB/T6093及国际标准</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7</w:t>
      </w:r>
      <w:r>
        <w:rPr>
          <w:rFonts w:hint="eastAsia" w:ascii="宋体" w:hAnsi="宋体" w:cs="宋体"/>
          <w:b/>
          <w:color w:val="auto"/>
          <w:sz w:val="22"/>
          <w:szCs w:val="22"/>
          <w:highlight w:val="none"/>
        </w:rPr>
        <w:t>、内径百分表</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内径表是孔加工必备工具；</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适用于测量不同直径和不同深度的孔；</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★测量范围18-35；</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分度值0.01°；</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示值误差±0.012；</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可测孔深135；L224；</w:t>
      </w:r>
    </w:p>
    <w:p>
      <w:pPr>
        <w:numPr>
          <w:ilvl w:val="0"/>
          <w:numId w:val="1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组成：内径百分表；被测工件-轴承UC206。</w:t>
      </w:r>
    </w:p>
    <w:p>
      <w:pPr>
        <w:spacing w:line="360" w:lineRule="exact"/>
        <w:ind w:firstLine="442" w:firstLineChars="200"/>
        <w:rPr>
          <w:rFonts w:hint="eastAsia" w:ascii="宋体" w:hAnsi="宋体" w:cs="宋体"/>
          <w:color w:val="auto"/>
          <w:kern w:val="0"/>
          <w:sz w:val="22"/>
          <w:szCs w:val="22"/>
          <w:highlight w:val="none"/>
        </w:rPr>
      </w:pPr>
      <w:r>
        <w:rPr>
          <w:rFonts w:hint="eastAsia" w:ascii="宋体" w:hAnsi="宋体" w:cs="宋体"/>
          <w:b/>
          <w:color w:val="auto"/>
          <w:sz w:val="22"/>
          <w:szCs w:val="22"/>
          <w:highlight w:val="none"/>
          <w:lang w:val="en-US" w:eastAsia="zh-CN"/>
        </w:rPr>
        <w:t>8</w:t>
      </w:r>
      <w:r>
        <w:rPr>
          <w:rFonts w:hint="eastAsia" w:ascii="宋体" w:hAnsi="宋体" w:cs="宋体"/>
          <w:b/>
          <w:color w:val="auto"/>
          <w:sz w:val="22"/>
          <w:szCs w:val="22"/>
          <w:highlight w:val="none"/>
        </w:rPr>
        <w:t>、外径千分尺（25-50）</w:t>
      </w:r>
    </w:p>
    <w:p>
      <w:pPr>
        <w:numPr>
          <w:ilvl w:val="0"/>
          <w:numId w:val="1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外尺寸精密测量</w:t>
      </w:r>
    </w:p>
    <w:p>
      <w:pPr>
        <w:numPr>
          <w:ilvl w:val="0"/>
          <w:numId w:val="1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硬质合金测量面</w:t>
      </w:r>
    </w:p>
    <w:p>
      <w:pPr>
        <w:numPr>
          <w:ilvl w:val="0"/>
          <w:numId w:val="1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棘轮测力</w:t>
      </w:r>
    </w:p>
    <w:p>
      <w:pPr>
        <w:numPr>
          <w:ilvl w:val="0"/>
          <w:numId w:val="1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符合GB标准</w:t>
      </w:r>
    </w:p>
    <w:p>
      <w:pPr>
        <w:numPr>
          <w:ilvl w:val="0"/>
          <w:numId w:val="13"/>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测量范围：25-50 分度值：0.01 示值误差0.004</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lang w:val="en-US" w:eastAsia="zh-CN"/>
        </w:rPr>
        <w:t>9</w:t>
      </w:r>
      <w:r>
        <w:rPr>
          <w:rFonts w:hint="eastAsia" w:ascii="宋体" w:hAnsi="宋体" w:cs="宋体"/>
          <w:b/>
          <w:color w:val="auto"/>
          <w:sz w:val="22"/>
          <w:szCs w:val="22"/>
          <w:highlight w:val="none"/>
        </w:rPr>
        <w:t>、外径千分尺（0-25，125-150）</w:t>
      </w:r>
    </w:p>
    <w:p>
      <w:pPr>
        <w:numPr>
          <w:ilvl w:val="0"/>
          <w:numId w:val="1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外尺寸精密测量</w:t>
      </w:r>
    </w:p>
    <w:p>
      <w:pPr>
        <w:numPr>
          <w:ilvl w:val="0"/>
          <w:numId w:val="1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硬质合金测量面</w:t>
      </w:r>
    </w:p>
    <w:p>
      <w:pPr>
        <w:numPr>
          <w:ilvl w:val="0"/>
          <w:numId w:val="1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棘轮测力</w:t>
      </w:r>
    </w:p>
    <w:p>
      <w:pPr>
        <w:numPr>
          <w:ilvl w:val="0"/>
          <w:numId w:val="1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符合GB标准</w:t>
      </w:r>
    </w:p>
    <w:p>
      <w:pPr>
        <w:numPr>
          <w:ilvl w:val="0"/>
          <w:numId w:val="14"/>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测量范围：0-25  分度值：0.01 示值误差0.004</w:t>
      </w:r>
    </w:p>
    <w:p>
      <w:pPr>
        <w:numPr>
          <w:ilvl w:val="0"/>
          <w:numId w:val="14"/>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测量范围：125-150  分度值：0.01 示值误差0.004</w:t>
      </w:r>
    </w:p>
    <w:p>
      <w:pPr>
        <w:spacing w:line="360" w:lineRule="exact"/>
        <w:ind w:firstLine="442" w:firstLineChars="200"/>
        <w:rPr>
          <w:rFonts w:hint="eastAsia" w:ascii="宋体" w:hAnsi="宋体" w:cs="宋体"/>
          <w:color w:val="auto"/>
          <w:kern w:val="0"/>
          <w:sz w:val="22"/>
          <w:szCs w:val="22"/>
          <w:highlight w:val="none"/>
        </w:rPr>
      </w:pPr>
      <w:r>
        <w:rPr>
          <w:rFonts w:hint="eastAsia" w:ascii="宋体" w:hAnsi="宋体" w:cs="宋体"/>
          <w:b/>
          <w:color w:val="auto"/>
          <w:sz w:val="22"/>
          <w:szCs w:val="22"/>
          <w:highlight w:val="none"/>
          <w:lang w:val="en-US" w:eastAsia="zh-CN"/>
        </w:rPr>
        <w:t>10</w:t>
      </w:r>
      <w:r>
        <w:rPr>
          <w:rFonts w:hint="eastAsia" w:ascii="宋体" w:hAnsi="宋体" w:cs="宋体"/>
          <w:b/>
          <w:color w:val="auto"/>
          <w:sz w:val="22"/>
          <w:szCs w:val="22"/>
          <w:highlight w:val="none"/>
        </w:rPr>
        <w:t>、螺纹千分尺</w:t>
      </w:r>
    </w:p>
    <w:p>
      <w:pPr>
        <w:numPr>
          <w:ilvl w:val="0"/>
          <w:numId w:val="1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用于测量螺纹中径</w:t>
      </w:r>
    </w:p>
    <w:p>
      <w:pPr>
        <w:numPr>
          <w:ilvl w:val="0"/>
          <w:numId w:val="1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具有60°锥型和V型测图</w:t>
      </w:r>
    </w:p>
    <w:p>
      <w:pPr>
        <w:numPr>
          <w:ilvl w:val="0"/>
          <w:numId w:val="1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测头真空炉猝火、高精密磨削</w:t>
      </w:r>
    </w:p>
    <w:p>
      <w:pPr>
        <w:numPr>
          <w:ilvl w:val="0"/>
          <w:numId w:val="1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符合GB标准</w:t>
      </w:r>
    </w:p>
    <w:p>
      <w:pPr>
        <w:numPr>
          <w:ilvl w:val="0"/>
          <w:numId w:val="15"/>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测量范围：0-25  分度值：0.01 示值误差0.004</w:t>
      </w:r>
    </w:p>
    <w:p>
      <w:pPr>
        <w:spacing w:line="360" w:lineRule="exact"/>
        <w:ind w:firstLine="442" w:firstLineChars="200"/>
        <w:rPr>
          <w:rFonts w:hint="eastAsia" w:ascii="宋体" w:hAnsi="宋体" w:cs="宋体"/>
          <w:color w:val="auto"/>
          <w:kern w:val="0"/>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rPr>
        <w:t>、公法线千分尺</w:t>
      </w:r>
    </w:p>
    <w:p>
      <w:pPr>
        <w:numPr>
          <w:ilvl w:val="0"/>
          <w:numId w:val="1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用于测量齿轮公法线长度</w:t>
      </w:r>
    </w:p>
    <w:p>
      <w:pPr>
        <w:numPr>
          <w:ilvl w:val="0"/>
          <w:numId w:val="1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测砧真空炉淬火、量面经过精密研磨</w:t>
      </w:r>
    </w:p>
    <w:p>
      <w:pPr>
        <w:numPr>
          <w:ilvl w:val="0"/>
          <w:numId w:val="1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符合GB标准</w:t>
      </w:r>
    </w:p>
    <w:p>
      <w:pPr>
        <w:numPr>
          <w:ilvl w:val="0"/>
          <w:numId w:val="16"/>
        </w:numPr>
        <w:spacing w:line="360" w:lineRule="exact"/>
        <w:ind w:left="0" w:firstLine="418" w:firstLineChars="200"/>
        <w:rPr>
          <w:rFonts w:hint="eastAsia" w:ascii="宋体" w:hAnsi="宋体" w:cs="宋体"/>
          <w:b/>
          <w:bCs/>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测量范围：25-50  分度值：0.01 示值误差0.004</w:t>
      </w:r>
    </w:p>
    <w:p>
      <w:pPr>
        <w:spacing w:line="360" w:lineRule="exact"/>
        <w:ind w:firstLine="442" w:firstLineChars="200"/>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2</w:t>
      </w:r>
      <w:r>
        <w:rPr>
          <w:rFonts w:hint="eastAsia" w:ascii="宋体" w:hAnsi="宋体" w:cs="宋体"/>
          <w:b/>
          <w:color w:val="auto"/>
          <w:sz w:val="22"/>
          <w:szCs w:val="22"/>
          <w:highlight w:val="none"/>
        </w:rPr>
        <w:t>、双面啮合综合检查仪</w:t>
      </w:r>
    </w:p>
    <w:p>
      <w:pPr>
        <w:numPr>
          <w:ilvl w:val="0"/>
          <w:numId w:val="1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用途：本仪器主要用于齿轮径向综合总偏差的测量</w:t>
      </w:r>
    </w:p>
    <w:p>
      <w:pPr>
        <w:numPr>
          <w:ilvl w:val="0"/>
          <w:numId w:val="17"/>
        </w:numPr>
        <w:spacing w:line="360" w:lineRule="exact"/>
        <w:ind w:left="0" w:firstLine="440" w:firstLineChars="200"/>
        <w:rPr>
          <w:rFonts w:hint="eastAsia" w:ascii="宋体" w:hAnsi="宋体" w:cs="宋体"/>
          <w:bCs/>
          <w:color w:val="auto"/>
          <w:sz w:val="22"/>
          <w:szCs w:val="22"/>
          <w:highlight w:val="none"/>
        </w:rPr>
      </w:pPr>
      <w:r>
        <w:rPr>
          <w:rFonts w:hint="eastAsia" w:ascii="宋体" w:hAnsi="宋体" w:cs="宋体"/>
          <w:color w:val="auto"/>
          <w:sz w:val="22"/>
          <w:szCs w:val="22"/>
          <w:highlight w:val="none"/>
        </w:rPr>
        <w:t>技术规</w:t>
      </w:r>
      <w:r>
        <w:rPr>
          <w:rFonts w:hint="eastAsia" w:ascii="宋体" w:hAnsi="宋体" w:cs="宋体"/>
          <w:bCs/>
          <w:color w:val="auto"/>
          <w:sz w:val="22"/>
          <w:szCs w:val="22"/>
          <w:highlight w:val="none"/>
        </w:rPr>
        <w:t>格</w:t>
      </w:r>
    </w:p>
    <w:p>
      <w:pPr>
        <w:numPr>
          <w:ilvl w:val="0"/>
          <w:numId w:val="18"/>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型号规格：可测齿轮模数1-10mm</w:t>
      </w:r>
    </w:p>
    <w:p>
      <w:pPr>
        <w:numPr>
          <w:ilvl w:val="0"/>
          <w:numId w:val="1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两芯轴中心距离： 50-320mm</w:t>
      </w:r>
    </w:p>
    <w:p>
      <w:pPr>
        <w:numPr>
          <w:ilvl w:val="0"/>
          <w:numId w:val="1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仪器组成</w:t>
      </w:r>
    </w:p>
    <w:p>
      <w:pPr>
        <w:numPr>
          <w:ilvl w:val="0"/>
          <w:numId w:val="1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测量主机：1台</w:t>
      </w:r>
    </w:p>
    <w:p>
      <w:pPr>
        <w:numPr>
          <w:ilvl w:val="0"/>
          <w:numId w:val="1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百分表：1块</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3） </w:t>
      </w: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被测齿轮：标准直齿圆柱齿轮，模数5，齿数24，压力角20°，齿宽20mm，公差标准8GB/T10095.2，总数量15个，材料铝制齿轮。</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3</w:t>
      </w:r>
      <w:r>
        <w:rPr>
          <w:rFonts w:hint="eastAsia" w:ascii="宋体" w:hAnsi="宋体" w:cs="宋体"/>
          <w:b/>
          <w:color w:val="auto"/>
          <w:sz w:val="22"/>
          <w:szCs w:val="22"/>
          <w:highlight w:val="none"/>
        </w:rPr>
        <w:t>、宽座角尺</w:t>
      </w:r>
    </w:p>
    <w:p>
      <w:pPr>
        <w:spacing w:line="3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（1）技术规格：80*50mm</w:t>
      </w:r>
    </w:p>
    <w:p>
      <w:pPr>
        <w:spacing w:line="360" w:lineRule="exact"/>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（2）精度：1级</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（3）符合国标</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4</w:t>
      </w:r>
      <w:r>
        <w:rPr>
          <w:rFonts w:hint="eastAsia" w:ascii="宋体" w:hAnsi="宋体" w:cs="宋体"/>
          <w:b/>
          <w:color w:val="auto"/>
          <w:sz w:val="22"/>
          <w:szCs w:val="22"/>
          <w:highlight w:val="none"/>
        </w:rPr>
        <w:t>、正弦规</w:t>
      </w:r>
    </w:p>
    <w:p>
      <w:pPr>
        <w:numPr>
          <w:ilvl w:val="0"/>
          <w:numId w:val="2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用途：用于测量带有锥度的零件。</w:t>
      </w:r>
    </w:p>
    <w:p>
      <w:pPr>
        <w:numPr>
          <w:ilvl w:val="0"/>
          <w:numId w:val="2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技术规格：</w:t>
      </w:r>
    </w:p>
    <w:p>
      <w:pPr>
        <w:pStyle w:val="18"/>
        <w:spacing w:line="360" w:lineRule="exact"/>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1)</w:t>
      </w:r>
      <w:r>
        <w:rPr>
          <w:rFonts w:hint="eastAsia" w:ascii="宋体" w:hAnsi="宋体" w:cs="宋体"/>
          <w:b/>
          <w:color w:val="auto"/>
          <w:spacing w:val="-6"/>
          <w:sz w:val="22"/>
          <w:szCs w:val="22"/>
          <w:highlight w:val="none"/>
        </w:rPr>
        <w:t xml:space="preserve"> </w:t>
      </w:r>
      <w:r>
        <w:rPr>
          <w:rFonts w:hint="eastAsia" w:ascii="宋体" w:hAnsi="宋体" w:cs="宋体"/>
          <w:color w:val="auto"/>
          <w:sz w:val="22"/>
          <w:szCs w:val="22"/>
          <w:highlight w:val="none"/>
        </w:rPr>
        <w:t>200*80mm 1级</w:t>
      </w:r>
    </w:p>
    <w:p>
      <w:pPr>
        <w:pStyle w:val="18"/>
        <w:spacing w:line="360" w:lineRule="exact"/>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2)</w:t>
      </w:r>
      <w:r>
        <w:rPr>
          <w:rFonts w:hint="eastAsia" w:ascii="宋体" w:hAnsi="宋体" w:cs="宋体"/>
          <w:b/>
          <w:color w:val="auto"/>
          <w:spacing w:val="-6"/>
          <w:sz w:val="22"/>
          <w:szCs w:val="22"/>
          <w:highlight w:val="none"/>
        </w:rPr>
        <w:t xml:space="preserve"> ★</w:t>
      </w:r>
      <w:r>
        <w:rPr>
          <w:rFonts w:hint="eastAsia" w:ascii="宋体" w:hAnsi="宋体" w:cs="宋体"/>
          <w:color w:val="auto"/>
          <w:sz w:val="22"/>
          <w:szCs w:val="22"/>
          <w:highlight w:val="none"/>
        </w:rPr>
        <w:t xml:space="preserve">含花岗岩测量平台600*400*100mm </w:t>
      </w:r>
    </w:p>
    <w:p>
      <w:pPr>
        <w:pStyle w:val="18"/>
        <w:spacing w:line="360" w:lineRule="exact"/>
        <w:ind w:firstLine="660" w:firstLineChars="300"/>
        <w:rPr>
          <w:rFonts w:hint="eastAsia" w:ascii="宋体" w:hAnsi="宋体" w:cs="宋体"/>
          <w:color w:val="auto"/>
          <w:sz w:val="22"/>
          <w:szCs w:val="22"/>
          <w:highlight w:val="none"/>
        </w:rPr>
      </w:pPr>
      <w:r>
        <w:rPr>
          <w:rFonts w:hint="eastAsia" w:ascii="宋体" w:hAnsi="宋体" w:cs="宋体"/>
          <w:color w:val="auto"/>
          <w:sz w:val="22"/>
          <w:szCs w:val="22"/>
          <w:highlight w:val="none"/>
        </w:rPr>
        <w:t>3）</w:t>
      </w: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被测圆锥零件：莫式锥号3＃，锥角2度52分32秒，锥角公差0~＋52秒。</w:t>
      </w:r>
    </w:p>
    <w:p>
      <w:pPr>
        <w:numPr>
          <w:ilvl w:val="0"/>
          <w:numId w:val="2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组成：正弦规、测量平台、被测零件</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5</w:t>
      </w:r>
      <w:r>
        <w:rPr>
          <w:rFonts w:hint="eastAsia" w:ascii="宋体" w:hAnsi="宋体" w:cs="宋体"/>
          <w:b/>
          <w:color w:val="auto"/>
          <w:sz w:val="22"/>
          <w:szCs w:val="22"/>
          <w:highlight w:val="none"/>
        </w:rPr>
        <w:t>、指示表及表座</w:t>
      </w:r>
    </w:p>
    <w:p>
      <w:pPr>
        <w:numPr>
          <w:ilvl w:val="0"/>
          <w:numId w:val="21"/>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千分表：测量范围：0-1mm  分度值：0.001</w:t>
      </w:r>
    </w:p>
    <w:p>
      <w:pPr>
        <w:numPr>
          <w:ilvl w:val="0"/>
          <w:numId w:val="21"/>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磁性表座</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6</w:t>
      </w:r>
      <w:r>
        <w:rPr>
          <w:rFonts w:hint="eastAsia" w:ascii="宋体" w:hAnsi="宋体" w:cs="宋体"/>
          <w:b/>
          <w:color w:val="auto"/>
          <w:sz w:val="22"/>
          <w:szCs w:val="22"/>
          <w:highlight w:val="none"/>
        </w:rPr>
        <w:t>、杠杆齿轮比较仪</w:t>
      </w:r>
    </w:p>
    <w:p>
      <w:pPr>
        <w:numPr>
          <w:ilvl w:val="0"/>
          <w:numId w:val="2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用途：用比较测量的方法进行零件外径的测量。</w:t>
      </w:r>
    </w:p>
    <w:p>
      <w:pPr>
        <w:numPr>
          <w:ilvl w:val="0"/>
          <w:numId w:val="22"/>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规格：测量范围1~180mm，示值范围±100μm</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7</w:t>
      </w:r>
      <w:r>
        <w:rPr>
          <w:rFonts w:hint="eastAsia" w:ascii="宋体" w:hAnsi="宋体" w:cs="宋体"/>
          <w:b/>
          <w:color w:val="auto"/>
          <w:sz w:val="22"/>
          <w:szCs w:val="22"/>
          <w:highlight w:val="none"/>
        </w:rPr>
        <w:t>、杠杆齿轮比较座</w:t>
      </w:r>
    </w:p>
    <w:p>
      <w:pPr>
        <w:numPr>
          <w:ilvl w:val="0"/>
          <w:numId w:val="2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规格：花岗岩比较座200*150mm</w:t>
      </w:r>
    </w:p>
    <w:p>
      <w:pPr>
        <w:numPr>
          <w:ilvl w:val="0"/>
          <w:numId w:val="23"/>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被测圆柱工件：直径40h6，长120mm，材料45钢或40Cr。</w:t>
      </w:r>
    </w:p>
    <w:p>
      <w:pPr>
        <w:numPr>
          <w:ilvl w:val="0"/>
          <w:numId w:val="23"/>
        </w:numPr>
        <w:spacing w:line="360" w:lineRule="exact"/>
        <w:ind w:left="0" w:firstLine="440" w:firstLineChars="200"/>
        <w:rPr>
          <w:rFonts w:hint="eastAsia" w:ascii="宋体" w:hAnsi="宋体" w:cs="宋体"/>
          <w:b/>
          <w:color w:val="auto"/>
          <w:sz w:val="22"/>
          <w:szCs w:val="22"/>
          <w:highlight w:val="none"/>
        </w:rPr>
      </w:pPr>
      <w:r>
        <w:rPr>
          <w:rFonts w:hint="eastAsia" w:ascii="宋体" w:hAnsi="宋体" w:cs="宋体"/>
          <w:color w:val="auto"/>
          <w:sz w:val="22"/>
          <w:szCs w:val="22"/>
          <w:highlight w:val="none"/>
        </w:rPr>
        <w:t>组成：比较座、被测工件</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1</w:t>
      </w:r>
      <w:r>
        <w:rPr>
          <w:rFonts w:hint="eastAsia" w:ascii="宋体" w:hAnsi="宋体" w:cs="宋体"/>
          <w:b/>
          <w:color w:val="auto"/>
          <w:sz w:val="22"/>
          <w:szCs w:val="22"/>
          <w:highlight w:val="none"/>
          <w:lang w:val="en-US" w:eastAsia="zh-CN"/>
        </w:rPr>
        <w:t>8</w:t>
      </w:r>
      <w:r>
        <w:rPr>
          <w:rFonts w:hint="eastAsia" w:ascii="宋体" w:hAnsi="宋体" w:cs="宋体"/>
          <w:b/>
          <w:color w:val="auto"/>
          <w:sz w:val="22"/>
          <w:szCs w:val="22"/>
          <w:highlight w:val="none"/>
        </w:rPr>
        <w:t>、机构运动简图测绘模型1</w:t>
      </w:r>
    </w:p>
    <w:p>
      <w:pPr>
        <w:numPr>
          <w:ilvl w:val="0"/>
          <w:numId w:val="2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功能要求：</w:t>
      </w:r>
    </w:p>
    <w:p>
      <w:pPr>
        <w:numPr>
          <w:ilvl w:val="0"/>
          <w:numId w:val="2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模型材料为铝合金铜轴精加工制作，表面经过打磨，抛光 更显美观，防氧化。</w:t>
      </w:r>
    </w:p>
    <w:p>
      <w:pPr>
        <w:numPr>
          <w:ilvl w:val="0"/>
          <w:numId w:val="2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所有连接件均采用标准化生产</w:t>
      </w:r>
    </w:p>
    <w:p>
      <w:pPr>
        <w:numPr>
          <w:ilvl w:val="0"/>
          <w:numId w:val="2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模型表面采用汽车漆，表面光亮、防刮察；按教学要求分色，划线，为学生测绘测量计算自由度提供了依据。</w:t>
      </w:r>
    </w:p>
    <w:p>
      <w:pPr>
        <w:numPr>
          <w:ilvl w:val="0"/>
          <w:numId w:val="2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外型尺寸：220×180×100mm</w:t>
      </w:r>
      <w:r>
        <w:rPr>
          <w:rFonts w:hint="eastAsia"/>
          <w:color w:val="auto"/>
          <w:highlight w:val="none"/>
        </w:rPr>
        <w:t>±50</w:t>
      </w:r>
      <w:r>
        <w:rPr>
          <w:rFonts w:hint="eastAsia" w:ascii="宋体" w:hAnsi="宋体" w:cs="宋体"/>
          <w:color w:val="auto"/>
          <w:sz w:val="22"/>
          <w:szCs w:val="22"/>
          <w:highlight w:val="none"/>
        </w:rPr>
        <w:t>mm</w:t>
      </w:r>
    </w:p>
    <w:p>
      <w:pPr>
        <w:numPr>
          <w:ilvl w:val="0"/>
          <w:numId w:val="2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铆钉机构、简易冲床、装订机机构、鄂式破碎机、步进输送机、假肢膝关节机构、机械手腕部机构、抛光机、牛头刨床、制动机构；</w:t>
      </w:r>
    </w:p>
    <w:p>
      <w:pPr>
        <w:numPr>
          <w:ilvl w:val="0"/>
          <w:numId w:val="2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配套专用的虚拟仿真软件：</w:t>
      </w:r>
    </w:p>
    <w:p>
      <w:pPr>
        <w:numPr>
          <w:ilvl w:val="0"/>
          <w:numId w:val="2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机械原理虚拟仿真认知教学系统由机器与机构的组成、运动副、连杆机构与应用、凸轮机构、齿轮机构、间歇运行机构几个模块组成，通过鼠标拖动，可以在几个模块之间移动；</w:t>
      </w:r>
    </w:p>
    <w:p>
      <w:pPr>
        <w:numPr>
          <w:ilvl w:val="0"/>
          <w:numId w:val="2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所有模型可以360度旋转、平移、放大缩小；模型数量不少于40种，包括：内燃机、转动副、移动副、螺旋副、球面副 、齿轮高副、凸轮高副、曲柄摇杆机构、双摇杆机构、对心曲柄滑块、双重偏心机构、直动滑杆机构(定块机构)、摇块机构、双滑块机构、颚式碎石机、飞剪、摄影机平台、鹤式起重机、牛头刨床、4R万向节、RRSRR角度传动机构、尖端推杆盘形凸轮、滚子推杆盘形凸轮、摆动推杆盘形凸轮、槽形凸轮、端面圆锥凸轮机构、反凸轮机构、主回凸轮机构、外啮合直齿轮、内啮合直齿轮、斜齿圆锥齿轮、蜗杆蜗轮、定轴轮系、行星轮系、差动轮系、复合轮系、摆线针轮减速器、谐波传动减速器、齿式棘轮机构、摩擦式棘轮机构、超越离合器、球面槽轮机构。</w:t>
      </w:r>
    </w:p>
    <w:p>
      <w:pPr>
        <w:numPr>
          <w:ilvl w:val="0"/>
          <w:numId w:val="2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点击每类机构的图标，可以进入相应分类的二级菜单，二级菜单下面有该类机构所有模型的缩略图，可以通过点击某一各机构的图标，进入到该机构的学习界面。</w:t>
      </w:r>
    </w:p>
    <w:p>
      <w:pPr>
        <w:numPr>
          <w:ilvl w:val="0"/>
          <w:numId w:val="2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打开任意机构之后，进入该机构的三维交互学习模块，该学习模块由三维场景、简介、原理展示和典型案例三部分组成：简介，通过文字对机构进行详细描述；原理展示，通过点击原理展示按钮，可以打开该机构的一个三维交互原理动画；典型案例，通过点击典型案例按钮，可以打开该机构的应用案。</w:t>
      </w:r>
    </w:p>
    <w:p>
      <w:pPr>
        <w:pStyle w:val="12"/>
        <w:spacing w:after="0" w:line="360" w:lineRule="exact"/>
        <w:ind w:left="0" w:leftChars="0" w:firstLine="440"/>
        <w:rPr>
          <w:rFonts w:hint="eastAsia" w:ascii="宋体" w:hAnsi="宋体" w:cs="宋体"/>
          <w:b/>
          <w:color w:val="auto"/>
          <w:sz w:val="22"/>
          <w:szCs w:val="22"/>
          <w:highlight w:val="none"/>
        </w:rPr>
      </w:pPr>
      <w:r>
        <w:rPr>
          <w:rFonts w:hint="eastAsia" w:ascii="宋体" w:hAnsi="宋体" w:cs="宋体"/>
          <w:color w:val="auto"/>
          <w:sz w:val="22"/>
          <w:szCs w:val="22"/>
          <w:highlight w:val="none"/>
        </w:rPr>
        <w:t>1</w:t>
      </w:r>
      <w:r>
        <w:rPr>
          <w:rFonts w:hint="eastAsia" w:ascii="宋体" w:hAnsi="宋体" w:cs="宋体"/>
          <w:color w:val="auto"/>
          <w:sz w:val="22"/>
          <w:szCs w:val="22"/>
          <w:highlight w:val="none"/>
          <w:lang w:val="en-US" w:eastAsia="zh-CN"/>
        </w:rPr>
        <w:t>9</w:t>
      </w:r>
      <w:r>
        <w:rPr>
          <w:rFonts w:hint="eastAsia" w:ascii="宋体" w:hAnsi="宋体" w:cs="宋体"/>
          <w:color w:val="auto"/>
          <w:sz w:val="22"/>
          <w:szCs w:val="22"/>
          <w:highlight w:val="none"/>
        </w:rPr>
        <w:t>、</w:t>
      </w:r>
      <w:r>
        <w:rPr>
          <w:rFonts w:hint="eastAsia" w:ascii="宋体" w:hAnsi="宋体" w:cs="宋体"/>
          <w:b/>
          <w:color w:val="auto"/>
          <w:sz w:val="22"/>
          <w:szCs w:val="22"/>
          <w:highlight w:val="none"/>
        </w:rPr>
        <w:t>机构运动简图测绘模型2</w:t>
      </w:r>
    </w:p>
    <w:p>
      <w:pPr>
        <w:numPr>
          <w:ilvl w:val="0"/>
          <w:numId w:val="2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功能要求：</w:t>
      </w:r>
    </w:p>
    <w:p>
      <w:pPr>
        <w:numPr>
          <w:ilvl w:val="0"/>
          <w:numId w:val="2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模型材料为铝合金铜轴精加工制作，表面经过打磨，抛光 更显美观，防氧化。</w:t>
      </w:r>
    </w:p>
    <w:p>
      <w:pPr>
        <w:numPr>
          <w:ilvl w:val="0"/>
          <w:numId w:val="2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所有连接件均采用标准化生产。</w:t>
      </w:r>
    </w:p>
    <w:p>
      <w:pPr>
        <w:numPr>
          <w:ilvl w:val="0"/>
          <w:numId w:val="2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模型表面采用汽车漆，表面光亮、防刮察；按教学要求分色，划线，为学生测绘测量计算自由度提供了依据。</w:t>
      </w:r>
    </w:p>
    <w:p>
      <w:pPr>
        <w:numPr>
          <w:ilvl w:val="0"/>
          <w:numId w:val="28"/>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外型尺寸：220×180×100mm</w:t>
      </w:r>
      <w:r>
        <w:rPr>
          <w:rFonts w:hint="eastAsia"/>
          <w:color w:val="auto"/>
          <w:highlight w:val="none"/>
        </w:rPr>
        <w:t>±50</w:t>
      </w:r>
      <w:r>
        <w:rPr>
          <w:rFonts w:hint="eastAsia" w:ascii="宋体" w:hAnsi="宋体" w:cs="宋体"/>
          <w:color w:val="auto"/>
          <w:sz w:val="22"/>
          <w:szCs w:val="22"/>
          <w:highlight w:val="none"/>
        </w:rPr>
        <w:t>mm</w:t>
      </w:r>
    </w:p>
    <w:p>
      <w:pPr>
        <w:numPr>
          <w:ilvl w:val="0"/>
          <w:numId w:val="27"/>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模型：</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B1铆钉机构、B2简易冲床、B3装订机机构、B4鄂式破碎机、B5步进输送机、B6假肢膝关节机构、B7机械手腕部机构、B8抛光机、B9牛头刨床、B10制动机构。</w:t>
      </w:r>
    </w:p>
    <w:p>
      <w:pPr>
        <w:pStyle w:val="12"/>
        <w:spacing w:after="0" w:line="360" w:lineRule="exact"/>
        <w:ind w:left="0" w:leftChars="0" w:firstLine="440"/>
        <w:rPr>
          <w:rFonts w:hint="eastAsia" w:ascii="宋体" w:hAnsi="宋体" w:cs="宋体"/>
          <w:b/>
          <w:color w:val="auto"/>
          <w:sz w:val="22"/>
          <w:szCs w:val="22"/>
          <w:highlight w:val="none"/>
        </w:rPr>
      </w:pPr>
      <w:r>
        <w:rPr>
          <w:rFonts w:hint="eastAsia" w:ascii="宋体" w:hAnsi="宋体" w:cs="宋体"/>
          <w:color w:val="auto"/>
          <w:sz w:val="22"/>
          <w:szCs w:val="22"/>
          <w:highlight w:val="none"/>
          <w:lang w:val="en-US" w:eastAsia="zh-CN"/>
        </w:rPr>
        <w:t>20</w:t>
      </w:r>
      <w:r>
        <w:rPr>
          <w:rFonts w:hint="eastAsia" w:ascii="宋体" w:hAnsi="宋体" w:cs="宋体"/>
          <w:color w:val="auto"/>
          <w:sz w:val="22"/>
          <w:szCs w:val="22"/>
          <w:highlight w:val="none"/>
        </w:rPr>
        <w:t>、</w:t>
      </w:r>
      <w:r>
        <w:rPr>
          <w:rFonts w:hint="eastAsia" w:ascii="宋体" w:hAnsi="宋体" w:cs="宋体"/>
          <w:b/>
          <w:color w:val="auto"/>
          <w:sz w:val="22"/>
          <w:szCs w:val="22"/>
          <w:highlight w:val="none"/>
        </w:rPr>
        <w:t>齿轮范成仪</w:t>
      </w:r>
    </w:p>
    <w:p>
      <w:pPr>
        <w:numPr>
          <w:ilvl w:val="0"/>
          <w:numId w:val="29"/>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功能特点：</w:t>
      </w:r>
    </w:p>
    <w:p>
      <w:pPr>
        <w:numPr>
          <w:ilvl w:val="0"/>
          <w:numId w:val="3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范成仪基体主要包括底座与滑板、扇形齿轮与齿条等零件。底座与梭板采用60°燕尾槽配合精密，移动平稳、灵活、经久耐用，梭板每次移动3mm（滚动限位）。设计的移动长度确保能够绘制出两个完整的齿形。</w:t>
      </w:r>
    </w:p>
    <w:p>
      <w:pPr>
        <w:numPr>
          <w:ilvl w:val="0"/>
          <w:numId w:val="30"/>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两用扇形齿轮：m=2、Z1=135、Z2=80 ，安装方便。</w:t>
      </w:r>
    </w:p>
    <w:p>
      <w:pPr>
        <w:numPr>
          <w:ilvl w:val="0"/>
          <w:numId w:val="3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采用铝合金和PVC工程塑料制造。</w:t>
      </w:r>
    </w:p>
    <w:p>
      <w:pPr>
        <w:numPr>
          <w:ilvl w:val="0"/>
          <w:numId w:val="3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配两种齿轮加工刀具（梳刀），模数等于8和20各一把。</w:t>
      </w:r>
    </w:p>
    <w:p>
      <w:pPr>
        <w:numPr>
          <w:ilvl w:val="0"/>
          <w:numId w:val="30"/>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外形尺寸：325×300×100mm</w:t>
      </w:r>
      <w:r>
        <w:rPr>
          <w:rFonts w:hint="eastAsia"/>
          <w:color w:val="auto"/>
          <w:highlight w:val="none"/>
        </w:rPr>
        <w:t>±50</w:t>
      </w:r>
      <w:r>
        <w:rPr>
          <w:rFonts w:hint="eastAsia" w:ascii="宋体" w:hAnsi="宋体" w:cs="宋体"/>
          <w:color w:val="auto"/>
          <w:sz w:val="22"/>
          <w:szCs w:val="22"/>
          <w:highlight w:val="none"/>
        </w:rPr>
        <w:t>mm</w:t>
      </w:r>
    </w:p>
    <w:p>
      <w:pPr>
        <w:numPr>
          <w:ilvl w:val="0"/>
          <w:numId w:val="29"/>
        </w:numPr>
        <w:spacing w:line="360" w:lineRule="exact"/>
        <w:ind w:left="0" w:firstLine="440" w:firstLineChars="200"/>
        <w:rPr>
          <w:rFonts w:hint="eastAsia" w:ascii="宋体" w:hAnsi="宋体" w:cs="宋体"/>
          <w:color w:val="auto"/>
          <w:sz w:val="22"/>
          <w:szCs w:val="22"/>
          <w:highlight w:val="none"/>
          <w:lang w:val="hr-HR"/>
        </w:rPr>
      </w:pPr>
      <w:r>
        <w:rPr>
          <w:rFonts w:hint="eastAsia" w:ascii="宋体" w:hAnsi="宋体" w:cs="宋体"/>
          <w:color w:val="auto"/>
          <w:sz w:val="22"/>
          <w:szCs w:val="22"/>
          <w:highlight w:val="none"/>
        </w:rPr>
        <w:t>虚拟软件：</w:t>
      </w:r>
    </w:p>
    <w:p>
      <w:pPr>
        <w:numPr>
          <w:ilvl w:val="0"/>
          <w:numId w:val="31"/>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手动范成仪</w:t>
      </w:r>
    </w:p>
    <w:p>
      <w:pPr>
        <w:numPr>
          <w:ilvl w:val="0"/>
          <w:numId w:val="32"/>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实验系统包含实验目的、实验要求、实验原理、实验流程和实验报告，可以让操作者方便地了解范成实验系统的组成和实验原理以及操作过程；</w:t>
      </w:r>
    </w:p>
    <w:p>
      <w:pPr>
        <w:numPr>
          <w:ilvl w:val="0"/>
          <w:numId w:val="32"/>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实验三维场景具备交互功能，操作者可以实时地进行缩放、平移、旋转等交互操作</w:t>
      </w:r>
    </w:p>
    <w:p>
      <w:pPr>
        <w:numPr>
          <w:ilvl w:val="0"/>
          <w:numId w:val="32"/>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实验设置：实验设置区进行实验的配置设置，包括选择不同变位情况下的实验，包括标准变位：点击“标准”按钮，进入范成仪实验标准齿轮绘制过程演示场景；正变位：点击“正变位”按钮，进入范成仪实验正变位齿轮绘制过程演示场景；负变位：点击“负变位”按钮，进入范成仪实验负变位齿轮绘制过程演示场景。</w:t>
      </w:r>
    </w:p>
    <w:p>
      <w:pPr>
        <w:numPr>
          <w:ilvl w:val="0"/>
          <w:numId w:val="31"/>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自动范成仪虚拟软件：</w:t>
      </w:r>
    </w:p>
    <w:p>
      <w:pPr>
        <w:numPr>
          <w:ilvl w:val="0"/>
          <w:numId w:val="33"/>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软件建有数学模型，外形与实物一致，可以对机械实验系统进行缩放、平移、360度旋转等交互操作</w:t>
      </w:r>
      <w:r>
        <w:rPr>
          <w:rFonts w:hint="eastAsia" w:ascii="宋体" w:hAnsi="宋体" w:cs="宋体"/>
          <w:color w:val="auto"/>
          <w:sz w:val="22"/>
          <w:szCs w:val="22"/>
          <w:highlight w:val="none"/>
          <w:lang w:eastAsia="zh-CN"/>
        </w:rPr>
        <w:t>。</w:t>
      </w:r>
    </w:p>
    <w:p>
      <w:pPr>
        <w:numPr>
          <w:ilvl w:val="0"/>
          <w:numId w:val="33"/>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系统涵盖实验目的、实验要求、实验原理、实验流程、实验报告等模型内容，能实验完整的实验流程</w:t>
      </w:r>
      <w:r>
        <w:rPr>
          <w:rFonts w:hint="eastAsia" w:ascii="宋体" w:hAnsi="宋体" w:cs="宋体"/>
          <w:color w:val="auto"/>
          <w:sz w:val="22"/>
          <w:szCs w:val="22"/>
          <w:highlight w:val="none"/>
          <w:lang w:eastAsia="zh-CN"/>
        </w:rPr>
        <w:t>。</w:t>
      </w:r>
    </w:p>
    <w:p>
      <w:pPr>
        <w:numPr>
          <w:ilvl w:val="0"/>
          <w:numId w:val="33"/>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采用光敏印墨线作为模拟齿轮，齿廓边缘线与油墨压印方式，结合机械传动，实现全自动印制齿廓线，减少学生手动绘制误差，提高实验效率和精度，具有简单、快捷、准确的特点，结合机械原理教学内容，可实现齿条刀具和齿轮刀具的泛成加工实验验证，且装卸方便，采用机构创新设计理论方法，通过与齿轮同轴的滑块沿着被加工齿轮径向靠近或远离运动，实现正、负变位，且有刻度线指示，便于调节变位系数，虚拟软件可以进行实验的配置设置，包括选择不同变位情况下的实验，点击“标准”按钮，绘制标准齿轮曲线；点击“正变位”按钮，绘制正变位齿轮曲线；点击“负变位”按钮，绘制负变位齿轮曲线，投标提供带字幕表述的演示视频和截图，截图要求与参数内容逐条对应，可选择齿轮、齿条进行齿轮范成实验，具有齿轮范成工程案例。</w:t>
      </w:r>
    </w:p>
    <w:p>
      <w:pPr>
        <w:numPr>
          <w:ilvl w:val="0"/>
          <w:numId w:val="33"/>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设置实验项目之后，场景中范成仪虚拟实验工具会演示范成仪实验。</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2</w:t>
      </w:r>
      <w:r>
        <w:rPr>
          <w:rFonts w:hint="eastAsia" w:ascii="宋体" w:hAnsi="宋体" w:cs="宋体"/>
          <w:b/>
          <w:color w:val="auto"/>
          <w:sz w:val="22"/>
          <w:szCs w:val="22"/>
          <w:highlight w:val="none"/>
          <w:lang w:val="en-US" w:eastAsia="zh-CN"/>
        </w:rPr>
        <w:t>1</w:t>
      </w:r>
      <w:r>
        <w:rPr>
          <w:rFonts w:hint="eastAsia" w:ascii="宋体" w:hAnsi="宋体" w:cs="宋体"/>
          <w:b/>
          <w:color w:val="auto"/>
          <w:sz w:val="22"/>
          <w:szCs w:val="22"/>
          <w:highlight w:val="none"/>
        </w:rPr>
        <w:t>、渐开线齿轮参数测定实验箱</w:t>
      </w:r>
    </w:p>
    <w:p>
      <w:pPr>
        <w:numPr>
          <w:ilvl w:val="0"/>
          <w:numId w:val="3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产品功能要求：</w:t>
      </w:r>
    </w:p>
    <w:p>
      <w:pPr>
        <w:spacing w:line="360" w:lineRule="exact"/>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渐开线齿轮几何参数较多，其啮合传动参数较复杂。本实验箱既能测试单个齿轮的几何参数，又能测定各种齿轮传动类型的啮合参数。</w:t>
      </w:r>
    </w:p>
    <w:p>
      <w:pPr>
        <w:numPr>
          <w:ilvl w:val="0"/>
          <w:numId w:val="3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配置及技术性能要求：</w:t>
      </w:r>
    </w:p>
    <w:p>
      <w:pPr>
        <w:numPr>
          <w:ilvl w:val="0"/>
          <w:numId w:val="3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实验箱箱体1个：铝合金材质</w:t>
      </w:r>
    </w:p>
    <w:p>
      <w:pPr>
        <w:numPr>
          <w:ilvl w:val="0"/>
          <w:numId w:val="35"/>
        </w:numPr>
        <w:spacing w:line="360" w:lineRule="exact"/>
        <w:ind w:left="0" w:firstLine="418" w:firstLineChars="200"/>
        <w:rPr>
          <w:rFonts w:hint="eastAsia" w:ascii="宋体" w:hAnsi="宋体" w:cs="宋体"/>
          <w:color w:val="auto"/>
          <w:sz w:val="22"/>
          <w:szCs w:val="22"/>
          <w:highlight w:val="none"/>
        </w:rPr>
      </w:pPr>
      <w:r>
        <w:rPr>
          <w:rFonts w:hint="eastAsia" w:ascii="宋体" w:hAnsi="宋体" w:cs="宋体"/>
          <w:b/>
          <w:color w:val="auto"/>
          <w:spacing w:val="-6"/>
          <w:sz w:val="22"/>
          <w:szCs w:val="22"/>
          <w:highlight w:val="none"/>
        </w:rPr>
        <w:t>★</w:t>
      </w:r>
      <w:r>
        <w:rPr>
          <w:rFonts w:hint="eastAsia" w:ascii="宋体" w:hAnsi="宋体" w:cs="宋体"/>
          <w:color w:val="auto"/>
          <w:sz w:val="22"/>
          <w:szCs w:val="22"/>
          <w:highlight w:val="none"/>
        </w:rPr>
        <w:t>测量用齿轮  6件 m=4mm  z=35、16、15、27、23、22；α=20°、15°；材料：航空用硬铝LY12，加工精度8-8-7GK和8-8-7EJ。</w:t>
      </w:r>
    </w:p>
    <w:p>
      <w:pPr>
        <w:numPr>
          <w:ilvl w:val="0"/>
          <w:numId w:val="3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游标卡尺1把 量程0—200mm；测量精度：0.02mm</w:t>
      </w:r>
    </w:p>
    <w:p>
      <w:pPr>
        <w:numPr>
          <w:ilvl w:val="0"/>
          <w:numId w:val="3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支承台板1个  材料：45号优质碳素结构，表面防锈处理，台板外形尺寸：220×150×75mm</w:t>
      </w:r>
    </w:p>
    <w:p>
      <w:pPr>
        <w:numPr>
          <w:ilvl w:val="0"/>
          <w:numId w:val="35"/>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透明刻度板4块；材料：优质有机玻璃</w:t>
      </w:r>
    </w:p>
    <w:p>
      <w:pPr>
        <w:numPr>
          <w:ilvl w:val="0"/>
          <w:numId w:val="3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实验项目</w:t>
      </w:r>
    </w:p>
    <w:p>
      <w:pPr>
        <w:numPr>
          <w:ilvl w:val="0"/>
          <w:numId w:val="3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渐开线直齿圆柱齿轮参数的测定</w:t>
      </w:r>
    </w:p>
    <w:p>
      <w:pPr>
        <w:numPr>
          <w:ilvl w:val="0"/>
          <w:numId w:val="3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渐开线齿轮啮合传动演示及其重合度测定</w:t>
      </w:r>
    </w:p>
    <w:p>
      <w:pPr>
        <w:numPr>
          <w:ilvl w:val="0"/>
          <w:numId w:val="3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变位齿轮传动类型及啮合参数的测定</w:t>
      </w:r>
    </w:p>
    <w:p>
      <w:pPr>
        <w:numPr>
          <w:ilvl w:val="0"/>
          <w:numId w:val="36"/>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机械基础立体教材：</w:t>
      </w:r>
    </w:p>
    <w:p>
      <w:pPr>
        <w:pStyle w:val="12"/>
        <w:spacing w:after="0" w:line="360" w:lineRule="exact"/>
        <w:ind w:left="0" w:leftChars="0" w:firstLine="442"/>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4.1、PC端移动学习平台：</w:t>
      </w:r>
    </w:p>
    <w:p>
      <w:pPr>
        <w:spacing w:line="360" w:lineRule="exact"/>
        <w:ind w:firstLine="442" w:firstLineChars="200"/>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4.1.1教材内容：</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有完整的课程体系，教材内容组织合理，有很好的教学性、科学性。教材以图形化表达为主，生动直观，包括机构认知、范成仪、曲柄导杆滑块、曲柄摇杆机构性能、多种凸轮动态测试、减速器、带传动、滑动轴承、齿轮传动效率等实验相关内容。</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教材为开放性系统，可方便地集成新的课程模块，通过修改xml内容可导入新的动画或习题。</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立体教材包括考试功能，可自动判断答题结果，同时教师可自主编辑试题。</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立体教材的有声音控制、页面跳转、笔记、参考资料、设置、帮助等功能，可进行页面的翻页；同时，软件还提供了手动翻页功能，可实现模拟手工翻页的理想效果。</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立体教材提供快速定位页面功能，直接输入对应的页面，点击跳转，直接进入相应界面。 立体教材页面属于交互式多媒体界面，可实现放大查看多张图片、动画播放、分布演示等功能。</w:t>
      </w:r>
    </w:p>
    <w:p>
      <w:pPr>
        <w:numPr>
          <w:ilvl w:val="0"/>
          <w:numId w:val="37"/>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立体教材可满足3D展示的要求，可展示范成仪、曲柄导杆滑块、曲柄摇杆机构性能、多种凸轮动态测试、减速器、带传动、滑动轴承、齿轮传动效率等试验台三维模型。</w:t>
      </w:r>
    </w:p>
    <w:p>
      <w:pPr>
        <w:pStyle w:val="3"/>
        <w:keepNext w:val="0"/>
        <w:keepLines w:val="0"/>
        <w:spacing w:before="0" w:after="0" w:line="360" w:lineRule="exact"/>
        <w:ind w:firstLine="442" w:firstLineChars="200"/>
        <w:rPr>
          <w:rFonts w:hint="eastAsia" w:ascii="宋体" w:hAnsi="宋体" w:eastAsia="宋体" w:cs="宋体"/>
          <w:bCs/>
          <w:color w:val="auto"/>
          <w:sz w:val="22"/>
          <w:szCs w:val="22"/>
          <w:highlight w:val="none"/>
        </w:rPr>
      </w:pPr>
      <w:r>
        <w:rPr>
          <w:rFonts w:hint="eastAsia" w:ascii="宋体" w:hAnsi="宋体" w:eastAsia="宋体" w:cs="宋体"/>
          <w:b/>
          <w:bCs/>
          <w:color w:val="auto"/>
          <w:sz w:val="22"/>
          <w:szCs w:val="22"/>
          <w:highlight w:val="none"/>
        </w:rPr>
        <w:t>4.</w:t>
      </w:r>
      <w:r>
        <w:rPr>
          <w:rFonts w:hint="eastAsia" w:ascii="宋体" w:hAnsi="宋体" w:eastAsia="宋体" w:cs="宋体"/>
          <w:bCs/>
          <w:color w:val="auto"/>
          <w:sz w:val="22"/>
          <w:szCs w:val="22"/>
          <w:highlight w:val="none"/>
        </w:rPr>
        <w:t>1.2考试系统</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考试系统包括试题库管理模块、试卷生成模块和定时考试模块。</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试题库管理模块可以对题库进行添加和编辑管理。</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试题库添加题目支持批量导入，导入题目前先根据提供的excel模板文件，添加所有题目内容，然后再题库添加界面导入excel题库文件。</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可以对导入的题库文件中试题，进行有选择性的导入到题库。</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题库编辑模块可以根据题目名称、题目性质、题目难道以及题目类型对试题库的题目进行筛选浏览。</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题库编辑模块可以编辑筛选题目的内容、选项答案、题目性质、题目难度、题目类型等。</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题库编辑模块可以批量删除题库中不需要的题目。</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试卷生成模块可以根据题目的类型、难度、数量智能生成考试评估试卷。</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定时考试模块要定时器，可以提示用户已使用的考试时间。</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定时考试模块支持的考试题型有单选题、多选题、判断题。</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定时考试模块每一道题有单独的显示页面，题目的切换可以通过”上一题“、“下一题”两个按钮，或者通过定位输入框调到某一个题目。</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定时考试模块完成答题后，可以提交试卷，通过系统实时智能监测，可以提醒用户时候已经完整答题。</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定时考试模块提交试卷后，可以由系统内置的智能评估引擎自动评估试卷，并生成考试结果报表。</w:t>
      </w:r>
    </w:p>
    <w:p>
      <w:pPr>
        <w:numPr>
          <w:ilvl w:val="0"/>
          <w:numId w:val="38"/>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考试结果报表总体展示答题的数量和对错情况、考试用时以及详细列出考试题目的内容与答题情况，可以会看任何一道已提交试题的答题情况。</w:t>
      </w:r>
    </w:p>
    <w:p>
      <w:pPr>
        <w:pStyle w:val="12"/>
        <w:spacing w:after="0" w:line="360" w:lineRule="exact"/>
        <w:ind w:left="0" w:leftChars="0" w:firstLine="442"/>
        <w:rPr>
          <w:rFonts w:hint="eastAsia" w:ascii="宋体" w:hAnsi="宋体" w:cs="宋体"/>
          <w:b/>
          <w:bCs/>
          <w:color w:val="auto"/>
          <w:sz w:val="22"/>
          <w:szCs w:val="22"/>
          <w:highlight w:val="none"/>
        </w:rPr>
      </w:pPr>
      <w:r>
        <w:rPr>
          <w:rFonts w:hint="eastAsia" w:ascii="宋体" w:hAnsi="宋体" w:cs="宋体"/>
          <w:b/>
          <w:bCs/>
          <w:color w:val="auto"/>
          <w:sz w:val="22"/>
          <w:szCs w:val="22"/>
          <w:highlight w:val="none"/>
        </w:rPr>
        <w:t>4.2、移动端学习平台</w:t>
      </w:r>
    </w:p>
    <w:p>
      <w:pPr>
        <w:pStyle w:val="3"/>
        <w:keepNext w:val="0"/>
        <w:keepLines w:val="0"/>
        <w:spacing w:before="0" w:after="0" w:line="360" w:lineRule="exact"/>
        <w:ind w:firstLine="442" w:firstLineChars="200"/>
        <w:rPr>
          <w:rFonts w:hint="eastAsia" w:ascii="宋体" w:hAnsi="宋体" w:eastAsia="宋体" w:cs="宋体"/>
          <w:bCs/>
          <w:color w:val="auto"/>
          <w:sz w:val="22"/>
          <w:szCs w:val="22"/>
          <w:highlight w:val="none"/>
        </w:rPr>
      </w:pPr>
      <w:r>
        <w:rPr>
          <w:rFonts w:hint="eastAsia" w:ascii="宋体" w:hAnsi="宋体" w:eastAsia="宋体" w:cs="宋体"/>
          <w:b/>
          <w:bCs/>
          <w:color w:val="auto"/>
          <w:sz w:val="22"/>
          <w:szCs w:val="22"/>
          <w:highlight w:val="none"/>
        </w:rPr>
        <w:t>4.</w:t>
      </w:r>
      <w:r>
        <w:rPr>
          <w:rFonts w:hint="eastAsia" w:ascii="宋体" w:hAnsi="宋体" w:eastAsia="宋体" w:cs="宋体"/>
          <w:bCs/>
          <w:color w:val="auto"/>
          <w:sz w:val="22"/>
          <w:szCs w:val="22"/>
          <w:highlight w:val="none"/>
        </w:rPr>
        <w:t>2.1移动学习平台功能</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用户通过手机移动端扫描实验设备上或者系统软件中嵌入的设备二维码唯一标识，直接进入设备二维码实验教学资源管理平台。进入后可查看设备相关信息，其中包括该设备可做的所有实验项目。</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平台拥有设备管理员/用户多级权限体系，支持在平台上查看立体教材、观看在线视频及在线学习虚拟仿真资源等功能。</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平台可查看设备信息、设备归属、设备状态、设备教程、以及配套实验项目教学资源。设备信息包括包含设备名称、生产厂家、出厂日期、设备外观图片；设备状态包含运行状态以及总体运行时间；设备归属信息包含所属学校、实验室、实验负责老师姓名和电话等购用户信息；设备教程包含设备介绍说明信息。</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设备管理员（老师）可以为配套实验项目添加指导说明书等内容。</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平台可以任意添加实验相关视频信息。</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设备管理员（老师）可以为实验编辑实验指导说明书，该说明书支持章节编辑及Html格式化。</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配套实验项目教学资源包括机械基础移动端立体教材、机械基础移动端VR教学资源库等内容。</w:t>
      </w:r>
    </w:p>
    <w:p>
      <w:pPr>
        <w:numPr>
          <w:ilvl w:val="0"/>
          <w:numId w:val="39"/>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可在后台设置教材章节的查阅权限。</w:t>
      </w:r>
    </w:p>
    <w:p>
      <w:pPr>
        <w:pStyle w:val="4"/>
        <w:numPr>
          <w:ilvl w:val="2"/>
          <w:numId w:val="0"/>
        </w:numPr>
        <w:spacing w:before="0" w:after="0" w:line="360" w:lineRule="exact"/>
        <w:ind w:firstLine="442" w:firstLineChars="200"/>
        <w:rPr>
          <w:rFonts w:hint="eastAsia" w:ascii="宋体" w:hAnsi="宋体" w:cs="宋体"/>
          <w:color w:val="auto"/>
          <w:sz w:val="22"/>
          <w:szCs w:val="22"/>
          <w:highlight w:val="none"/>
        </w:rPr>
      </w:pPr>
      <w:r>
        <w:rPr>
          <w:rFonts w:hint="eastAsia" w:ascii="宋体" w:hAnsi="宋体" w:cs="宋体"/>
          <w:bCs/>
          <w:color w:val="auto"/>
          <w:sz w:val="22"/>
          <w:szCs w:val="22"/>
          <w:highlight w:val="none"/>
        </w:rPr>
        <w:t>4.</w:t>
      </w:r>
      <w:r>
        <w:rPr>
          <w:rFonts w:hint="eastAsia" w:ascii="宋体" w:hAnsi="宋体" w:cs="宋体"/>
          <w:color w:val="auto"/>
          <w:sz w:val="22"/>
          <w:szCs w:val="22"/>
          <w:highlight w:val="none"/>
        </w:rPr>
        <w:t>2.2机械基础移动端立体教材</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立体教材编辑人机界面友好，可实现时及在线预览等功能。</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立体教材包括机构的组成和机构、平面机构的运动分析、平面机构的力分析、机械的效率和自锁、机械的平衡、平面连杆机构及其设计、凸轮机构及设计、齿轮机构及其设计等章节。</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通过章节目录可方便地进入各章节内容，同时可以通过屏幕下方的目录快捷按钮随时可弹出目录窗口，便利地进行各章节阅读切换，也可以通过下方的“上一页”、“下一页”按钮，进行连续页面内容的切换。</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立体教材页面属于交互式多媒体界面可以包含文字、图片、视频等形式内容，以图形化表达为主，生动直观，可以实现微信朋友圈之间的分享。</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立体教材有完整的课程体系，教材内容组织合理，有很好的教学性、科学性。内容包含机械基础知识以及机械基础系列实验项目指导。</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机械基础知识包括机构的组成和结构、平面连杆机构及其设计、凸轮机构及设计、齿轮机构及其设计等章节内容，包括动画素材30个以上。</w:t>
      </w:r>
    </w:p>
    <w:p>
      <w:pPr>
        <w:numPr>
          <w:ilvl w:val="0"/>
          <w:numId w:val="40"/>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机械基础系列实验项目包括机构认知、范成仪、曲柄导杆滑块、曲柄摇杆机构性能、多种凸轮动态测试、减速器、带传动、滑动轴承、齿轮传动效率等相关实验指导内容，包括实验目的、实验设备、实验原理、实验操作、实验报告等内容。</w:t>
      </w:r>
    </w:p>
    <w:p>
      <w:pPr>
        <w:pStyle w:val="4"/>
        <w:numPr>
          <w:ilvl w:val="2"/>
          <w:numId w:val="0"/>
        </w:numPr>
        <w:spacing w:before="0" w:after="0" w:line="360" w:lineRule="exact"/>
        <w:ind w:firstLine="442" w:firstLineChars="200"/>
        <w:rPr>
          <w:rFonts w:hint="eastAsia" w:ascii="宋体" w:hAnsi="宋体" w:cs="宋体"/>
          <w:b w:val="0"/>
          <w:color w:val="auto"/>
          <w:sz w:val="22"/>
          <w:szCs w:val="22"/>
          <w:highlight w:val="none"/>
        </w:rPr>
      </w:pPr>
      <w:r>
        <w:rPr>
          <w:rFonts w:hint="eastAsia" w:ascii="宋体" w:hAnsi="宋体" w:cs="宋体"/>
          <w:bCs/>
          <w:color w:val="auto"/>
          <w:sz w:val="22"/>
          <w:szCs w:val="22"/>
          <w:highlight w:val="none"/>
        </w:rPr>
        <w:t>4.</w:t>
      </w:r>
      <w:r>
        <w:rPr>
          <w:rFonts w:hint="eastAsia" w:ascii="宋体" w:hAnsi="宋体" w:cs="宋体"/>
          <w:b w:val="0"/>
          <w:color w:val="auto"/>
          <w:sz w:val="22"/>
          <w:szCs w:val="22"/>
          <w:highlight w:val="none"/>
        </w:rPr>
        <w:t>2.3机械基础移动端VR教学资源库</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包含移动副、螺旋副、转动副、球面副、齿轮高副、凸轮高副等运动副，简介功能弹出窗口展示运动副的介绍，原理展示功能在虚拟场景中交互动作，进行放缩、旋转等交互操作以方便查看；典型案例展示运动副相关时案例视频。</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连杆机构与应用包括曲柄摇杆机构、双摇杆机构、对心曲柄滑块、双偏心连杆机构、直动滑杆机构、摇块机构、双滑块机构、飞剪、摄像机平台、鹤式起重机、牛头刨床、4R万向节、RRSRR角度传动机构等,可弹出窗口展示运动副的介绍，在虚拟场景中交互动作，进行放缩、旋转等交互操作以方便查看。</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在交互场景中可点击选中高亮。</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连杆机构配置机构底座，展示机构名称，名称可随底座模型一起动作。</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可以在手机端虚拟的场景中3D交互展示各数字模型，实现缩放、旋转、平移等交互功能。</w:t>
      </w:r>
    </w:p>
    <w:p>
      <w:pPr>
        <w:numPr>
          <w:ilvl w:val="0"/>
          <w:numId w:val="41"/>
        </w:numPr>
        <w:spacing w:line="36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在手机端加载时能显示加载百分进度，展示运动副3D模型，包括原理简介、原理演示、典型案例模块</w:t>
      </w:r>
      <w:r>
        <w:rPr>
          <w:rFonts w:hint="eastAsia" w:ascii="宋体" w:hAnsi="宋体" w:cs="宋体"/>
          <w:b/>
          <w:bCs/>
          <w:color w:val="auto"/>
          <w:sz w:val="22"/>
          <w:szCs w:val="22"/>
          <w:highlight w:val="none"/>
        </w:rPr>
        <w:t>。</w:t>
      </w:r>
    </w:p>
    <w:p>
      <w:pPr>
        <w:pStyle w:val="12"/>
        <w:spacing w:after="0" w:line="360" w:lineRule="exact"/>
        <w:ind w:left="0" w:leftChars="0" w:firstLine="442"/>
        <w:rPr>
          <w:rFonts w:hint="eastAsia" w:ascii="宋体" w:hAnsi="宋体" w:cs="宋体"/>
          <w:b/>
          <w:color w:val="auto"/>
          <w:sz w:val="22"/>
          <w:szCs w:val="22"/>
          <w:highlight w:val="none"/>
        </w:rPr>
      </w:pPr>
      <w:r>
        <w:rPr>
          <w:rFonts w:hint="eastAsia" w:ascii="宋体" w:hAnsi="宋体" w:cs="宋体"/>
          <w:b/>
          <w:color w:val="auto"/>
          <w:sz w:val="22"/>
          <w:szCs w:val="22"/>
          <w:highlight w:val="none"/>
        </w:rPr>
        <w:t>2</w:t>
      </w:r>
      <w:r>
        <w:rPr>
          <w:rFonts w:hint="eastAsia" w:ascii="宋体" w:hAnsi="宋体" w:cs="宋体"/>
          <w:b/>
          <w:color w:val="auto"/>
          <w:sz w:val="22"/>
          <w:szCs w:val="22"/>
          <w:highlight w:val="none"/>
          <w:lang w:val="en-US" w:eastAsia="zh-CN"/>
        </w:rPr>
        <w:t>2</w:t>
      </w:r>
      <w:r>
        <w:rPr>
          <w:rFonts w:hint="eastAsia" w:ascii="宋体" w:hAnsi="宋体" w:cs="宋体"/>
          <w:b/>
          <w:color w:val="auto"/>
          <w:sz w:val="22"/>
          <w:szCs w:val="22"/>
          <w:highlight w:val="none"/>
        </w:rPr>
        <w:t>、渐开线齿轮参数测定实验箱</w:t>
      </w:r>
    </w:p>
    <w:p>
      <w:pPr>
        <w:numPr>
          <w:ilvl w:val="0"/>
          <w:numId w:val="4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产品功能及组成要求：</w:t>
      </w:r>
    </w:p>
    <w:p>
      <w:pPr>
        <w:numPr>
          <w:ilvl w:val="0"/>
          <w:numId w:val="4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具备开设轴系结构设计及分析两大项实验功能。</w:t>
      </w:r>
    </w:p>
    <w:p>
      <w:pPr>
        <w:numPr>
          <w:ilvl w:val="0"/>
          <w:numId w:val="4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lang w:eastAsia="zh-CN"/>
        </w:rPr>
        <w:t>响应文件</w:t>
      </w:r>
      <w:r>
        <w:rPr>
          <w:rFonts w:hint="eastAsia" w:ascii="宋体" w:hAnsi="宋体" w:cs="宋体"/>
          <w:color w:val="auto"/>
          <w:sz w:val="22"/>
          <w:szCs w:val="22"/>
          <w:highlight w:val="none"/>
        </w:rPr>
        <w:t>提供5种以上三维图搭接图，至少提供有钢印号的三种不同零件清晰图片,配有齿轮轴、蜗杆轴等轴类零件； 齿轮等轴上零件；滚动轴承类、轴套类、密封类、端盖类零件；连接件、支承座类零件等≥55种≥165件轴系零部件，可以组合出不少于七类400种轴系结构方案。</w:t>
      </w:r>
    </w:p>
    <w:p>
      <w:pPr>
        <w:numPr>
          <w:ilvl w:val="0"/>
          <w:numId w:val="4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产品经精密加工，技术质量优良。挡油环，甩油环，调整环，套筒均为金属标准件。</w:t>
      </w:r>
    </w:p>
    <w:p>
      <w:pPr>
        <w:numPr>
          <w:ilvl w:val="0"/>
          <w:numId w:val="4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在每个零件上打印钢号，实验箱内配备说明书，说明书上有零件介绍及示意图，图中要求标记对应的零件钢号，便于学生拼接时方便找到对应零件。</w:t>
      </w:r>
    </w:p>
    <w:p>
      <w:pPr>
        <w:numPr>
          <w:ilvl w:val="0"/>
          <w:numId w:val="43"/>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全铝制制作，配有铁箱包装。</w:t>
      </w:r>
    </w:p>
    <w:p>
      <w:pPr>
        <w:numPr>
          <w:ilvl w:val="0"/>
          <w:numId w:val="42"/>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轴系搭接虚拟软件：</w:t>
      </w:r>
    </w:p>
    <w:p>
      <w:pPr>
        <w:numPr>
          <w:ilvl w:val="0"/>
          <w:numId w:val="4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实验基础学习：实验基础学习内容包括对实验目的、实验要求、实验工具以及实验步骤等实验基础知识进行学习，从总体上把握实验；</w:t>
      </w:r>
      <w:r>
        <w:rPr>
          <w:rFonts w:hint="eastAsia" w:ascii="宋体" w:hAnsi="宋体" w:cs="宋体"/>
          <w:color w:val="auto"/>
          <w:sz w:val="22"/>
          <w:szCs w:val="22"/>
          <w:highlight w:val="none"/>
          <w:lang w:val="zh-CN"/>
        </w:rPr>
        <w:t>从主场景界面右上点击实验目的等相关按钮，可以完成本实验的基础学习。</w:t>
      </w:r>
    </w:p>
    <w:p>
      <w:pPr>
        <w:numPr>
          <w:ilvl w:val="0"/>
          <w:numId w:val="4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零部件库：零件库中含有56种不同零件机构，每一个都建立了三维的物理模型，通过旋转、缩放等操作从整体到局部，全方位认知零部件的结构特点；</w:t>
      </w:r>
      <w:r>
        <w:rPr>
          <w:rFonts w:hint="eastAsia" w:ascii="宋体" w:hAnsi="宋体" w:cs="宋体"/>
          <w:color w:val="auto"/>
          <w:sz w:val="22"/>
          <w:szCs w:val="22"/>
          <w:highlight w:val="none"/>
          <w:lang w:val="zh-CN"/>
        </w:rPr>
        <w:t>零部件库界面，包含标题栏，零部件选择列表以及零部件三维展示区，通过拖动零部件列表，可以浏览隐藏的零部件。点击零部件列表项，可以切换当前展示的零部件</w:t>
      </w:r>
      <w:r>
        <w:rPr>
          <w:rFonts w:hint="eastAsia" w:ascii="宋体" w:hAnsi="宋体" w:cs="宋体"/>
          <w:color w:val="auto"/>
          <w:sz w:val="22"/>
          <w:szCs w:val="22"/>
          <w:highlight w:val="none"/>
        </w:rPr>
        <w:t>；</w:t>
      </w:r>
      <w:r>
        <w:rPr>
          <w:rFonts w:hint="eastAsia" w:ascii="宋体" w:hAnsi="宋体" w:cs="宋体"/>
          <w:color w:val="auto"/>
          <w:sz w:val="22"/>
          <w:szCs w:val="22"/>
          <w:highlight w:val="none"/>
          <w:lang w:val="zh-CN"/>
        </w:rPr>
        <w:t>三维展示区鼠标左键可以拖拽旋转零部件模型，360°观察零部件。鼠标中健滚动可以缩放零部件模型，从而由整体到部件观察零部件。</w:t>
      </w:r>
    </w:p>
    <w:p>
      <w:pPr>
        <w:numPr>
          <w:ilvl w:val="0"/>
          <w:numId w:val="4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轴系机构认知：包括九种不同的轴系，可以进行轴系结构的详细认知教学，九种轴系根据轴系上传动件以及其轴承组合方案的不同进行划分；点击“主场景界面”左侧的轴系按钮，弹出轴系种类选择，可以进行不同轴系切换。切换轴系后，场景中出现对应轴系的三维模型，此场景可以鼠标拖拽控制场景的旋转缩放，移动鼠标到模型可以识别模型名称。鼠标左键，点击模型可以高亮旋转模型。可以通过界面中右下侧的按钮，控制模型的显示隐藏。</w:t>
      </w:r>
    </w:p>
    <w:p>
      <w:pPr>
        <w:numPr>
          <w:ilvl w:val="0"/>
          <w:numId w:val="44"/>
        </w:numPr>
        <w:spacing w:line="360" w:lineRule="exact"/>
        <w:ind w:left="0"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轴系装配图：通过轴系装配图学习模块，可总体了解轴系的组成结构，零部件之间的相互装配关系，从而让学员可以顺利完成后续轴系的虚拟拆装实验操作；</w:t>
      </w:r>
      <w:r>
        <w:rPr>
          <w:rFonts w:hint="eastAsia" w:ascii="宋体" w:hAnsi="宋体" w:cs="宋体"/>
          <w:color w:val="auto"/>
          <w:sz w:val="22"/>
          <w:szCs w:val="22"/>
          <w:highlight w:val="none"/>
          <w:lang w:val="zh-CN"/>
        </w:rPr>
        <w:t>点击主场景界面右侧的“拆装”，从而可以选择轴系的拆、装演示操作。选择“拆”操作后，场景三维展示区，会动态演示轴系的拆卸操作，学员可以通过鼠标旋转，缩放，全方位的学习轴系的拆装操作。</w:t>
      </w:r>
    </w:p>
    <w:p>
      <w:pPr>
        <w:numPr>
          <w:ilvl w:val="0"/>
          <w:numId w:val="44"/>
        </w:numPr>
        <w:spacing w:line="360" w:lineRule="exact"/>
        <w:ind w:left="0" w:firstLine="440" w:firstLineChars="200"/>
        <w:rPr>
          <w:rFonts w:hint="eastAsia" w:ascii="宋体" w:hAnsi="宋体" w:cs="宋体"/>
          <w:color w:val="auto"/>
          <w:sz w:val="22"/>
          <w:szCs w:val="22"/>
          <w:highlight w:val="none"/>
          <w:lang w:val="zh-CN"/>
        </w:rPr>
      </w:pPr>
      <w:r>
        <w:rPr>
          <w:rFonts w:hint="eastAsia" w:ascii="宋体" w:hAnsi="宋体" w:cs="宋体"/>
          <w:color w:val="auto"/>
          <w:sz w:val="22"/>
          <w:szCs w:val="22"/>
          <w:highlight w:val="none"/>
        </w:rPr>
        <w:t>轴系虚拟拆装：</w:t>
      </w:r>
      <w:r>
        <w:rPr>
          <w:rFonts w:hint="eastAsia" w:ascii="宋体" w:hAnsi="宋体" w:cs="宋体"/>
          <w:color w:val="auto"/>
          <w:sz w:val="22"/>
          <w:szCs w:val="22"/>
          <w:highlight w:val="none"/>
          <w:lang w:val="zh-CN"/>
        </w:rPr>
        <w:t>在装配图的基础上，通过虚拟三维展示，帮助学员完成轴系了解轴系零部件拆装的动作特点以及拆装顺序，让学员更为直观的掌握轴系拆装知识。</w:t>
      </w:r>
    </w:p>
    <w:p>
      <w:pPr>
        <w:snapToGrid w:val="0"/>
        <w:spacing w:line="360" w:lineRule="exact"/>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四、其他</w:t>
      </w:r>
    </w:p>
    <w:p>
      <w:pPr>
        <w:spacing w:line="360" w:lineRule="exact"/>
        <w:ind w:firstLine="418" w:firstLineChars="200"/>
        <w:rPr>
          <w:rFonts w:hint="eastAsia" w:ascii="宋体" w:hAnsi="宋体" w:cs="宋体"/>
          <w:b/>
          <w:color w:val="auto"/>
          <w:spacing w:val="-6"/>
          <w:sz w:val="22"/>
          <w:szCs w:val="22"/>
          <w:highlight w:val="none"/>
        </w:rPr>
      </w:pPr>
      <w:r>
        <w:rPr>
          <w:rFonts w:hint="eastAsia" w:ascii="宋体" w:hAnsi="宋体" w:cs="宋体"/>
          <w:b/>
          <w:color w:val="auto"/>
          <w:spacing w:val="-6"/>
          <w:sz w:val="22"/>
          <w:szCs w:val="22"/>
          <w:highlight w:val="none"/>
        </w:rPr>
        <w:t>1.标“▲且加下划线”的有关技术和商务要求为实质性条款，响应方必须做出实质性响应</w:t>
      </w:r>
      <w:r>
        <w:rPr>
          <w:rFonts w:hint="eastAsia" w:ascii="宋体" w:hAnsi="宋体" w:cs="宋体"/>
          <w:b/>
          <w:bCs/>
          <w:color w:val="auto"/>
          <w:spacing w:val="-6"/>
          <w:sz w:val="22"/>
          <w:szCs w:val="22"/>
          <w:highlight w:val="none"/>
        </w:rPr>
        <w:t>，否则视为无效响应文件。</w:t>
      </w:r>
      <w:r>
        <w:rPr>
          <w:rFonts w:hint="eastAsia" w:ascii="宋体" w:hAnsi="宋体" w:cs="宋体"/>
          <w:b/>
          <w:color w:val="auto"/>
          <w:spacing w:val="-6"/>
          <w:sz w:val="22"/>
          <w:szCs w:val="22"/>
          <w:highlight w:val="none"/>
        </w:rPr>
        <w:t>标“★”的有关技术和商务要求为重要条款。除此之外其余的指标、服务要求以及合同条款可在磋商现场，根据磋商小组与供应商的磋商进行变动。</w:t>
      </w:r>
    </w:p>
    <w:p>
      <w:pPr>
        <w:spacing w:line="360" w:lineRule="exact"/>
        <w:ind w:firstLine="418" w:firstLineChars="200"/>
        <w:rPr>
          <w:rFonts w:hint="eastAsia" w:ascii="宋体" w:hAnsi="宋体" w:cs="宋体"/>
          <w:b/>
          <w:bCs/>
          <w:color w:val="auto"/>
          <w:kern w:val="0"/>
          <w:sz w:val="22"/>
          <w:szCs w:val="22"/>
          <w:highlight w:val="none"/>
        </w:rPr>
      </w:pPr>
      <w:r>
        <w:rPr>
          <w:rFonts w:hint="eastAsia" w:ascii="宋体" w:hAnsi="宋体" w:cs="宋体"/>
          <w:b/>
          <w:color w:val="auto"/>
          <w:spacing w:val="-6"/>
          <w:sz w:val="22"/>
          <w:szCs w:val="22"/>
          <w:highlight w:val="none"/>
        </w:rPr>
        <w:t>2.除磋商文件中所明确的采购需求规格外，欢迎其他能满足本项目采购需求且性能相当于或高于所明确的产品参加磋商报价。同时在采购需求偏离表中作出详细对比说明</w:t>
      </w:r>
      <w:r>
        <w:rPr>
          <w:rFonts w:hint="eastAsia" w:ascii="宋体" w:hAnsi="宋体" w:cs="宋体"/>
          <w:b/>
          <w:bCs/>
          <w:color w:val="auto"/>
          <w:kern w:val="0"/>
          <w:sz w:val="22"/>
          <w:szCs w:val="22"/>
          <w:highlight w:val="none"/>
        </w:rPr>
        <w:t>。</w:t>
      </w:r>
    </w:p>
    <w:p>
      <w:pPr>
        <w:snapToGrid w:val="0"/>
        <w:spacing w:line="340" w:lineRule="exact"/>
        <w:ind w:firstLine="418" w:firstLineChars="200"/>
        <w:jc w:val="left"/>
        <w:rPr>
          <w:rFonts w:hint="eastAsia" w:ascii="宋体" w:hAnsi="宋体" w:cs="宋体"/>
          <w:color w:val="auto"/>
          <w:kern w:val="0"/>
          <w:sz w:val="22"/>
          <w:szCs w:val="22"/>
          <w:highlight w:val="none"/>
          <w:lang w:bidi="ar"/>
        </w:rPr>
      </w:pPr>
      <w:r>
        <w:rPr>
          <w:rFonts w:hint="eastAsia" w:ascii="宋体" w:hAnsi="宋体" w:cs="宋体"/>
          <w:b/>
          <w:color w:val="auto"/>
          <w:spacing w:val="-6"/>
          <w:sz w:val="22"/>
          <w:szCs w:val="22"/>
          <w:highlight w:val="none"/>
        </w:rPr>
        <w:t>3.如技术要求中未特别注明需执行的国家相关标准、行业标准、地方标准或者其他标准、规范，则统一执行最新标准、规范。</w:t>
      </w:r>
    </w:p>
    <w:p>
      <w:pPr>
        <w:pStyle w:val="2"/>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- 20 -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- 20 -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single" w:color="auto" w:sz="4" w:space="1"/>
        <w:right w:val="none" w:color="auto" w:sz="0" w:space="0"/>
      </w:pBdr>
      <w:jc w:val="left"/>
      <w:rPr>
        <w:rFonts w:hint="eastAsia"/>
      </w:rPr>
    </w:pPr>
    <w:r>
      <w:rPr>
        <w:rFonts w:hint="eastAsia"/>
        <w:szCs w:val="22"/>
      </w:rPr>
      <w:t>浙江乐诚工程咨询有限公司磋商文件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0B6F5D"/>
    <w:multiLevelType w:val="singleLevel"/>
    <w:tmpl w:val="830B6F5D"/>
    <w:lvl w:ilvl="0" w:tentative="0">
      <w:start w:val="1"/>
      <w:numFmt w:val="decimalEnclosedCircleChinese"/>
      <w:suff w:val="nothing"/>
      <w:lvlText w:val="%1　"/>
      <w:lvlJc w:val="left"/>
      <w:pPr>
        <w:ind w:left="0" w:firstLine="400"/>
      </w:pPr>
      <w:rPr>
        <w:rFonts w:hint="eastAsia"/>
      </w:rPr>
    </w:lvl>
  </w:abstractNum>
  <w:abstractNum w:abstractNumId="1">
    <w:nsid w:val="85E2283A"/>
    <w:multiLevelType w:val="singleLevel"/>
    <w:tmpl w:val="85E2283A"/>
    <w:lvl w:ilvl="0" w:tentative="0">
      <w:start w:val="1"/>
      <w:numFmt w:val="decimalEnclosedCircleChinese"/>
      <w:suff w:val="nothing"/>
      <w:lvlText w:val="%1　"/>
      <w:lvlJc w:val="left"/>
      <w:pPr>
        <w:ind w:left="0" w:firstLine="400"/>
      </w:pPr>
      <w:rPr>
        <w:rFonts w:hint="eastAsia"/>
      </w:rPr>
    </w:lvl>
  </w:abstractNum>
  <w:abstractNum w:abstractNumId="2">
    <w:nsid w:val="97406413"/>
    <w:multiLevelType w:val="singleLevel"/>
    <w:tmpl w:val="97406413"/>
    <w:lvl w:ilvl="0" w:tentative="0">
      <w:start w:val="1"/>
      <w:numFmt w:val="decimalEnclosedCircleChinese"/>
      <w:suff w:val="nothing"/>
      <w:lvlText w:val="%1　"/>
      <w:lvlJc w:val="left"/>
      <w:pPr>
        <w:ind w:left="0" w:firstLine="400"/>
      </w:pPr>
      <w:rPr>
        <w:rFonts w:hint="eastAsia"/>
      </w:rPr>
    </w:lvl>
  </w:abstractNum>
  <w:abstractNum w:abstractNumId="3">
    <w:nsid w:val="A0FF1932"/>
    <w:multiLevelType w:val="singleLevel"/>
    <w:tmpl w:val="A0FF1932"/>
    <w:lvl w:ilvl="0" w:tentative="0">
      <w:start w:val="1"/>
      <w:numFmt w:val="decimal"/>
      <w:lvlText w:val="(%1)"/>
      <w:lvlJc w:val="left"/>
      <w:pPr>
        <w:ind w:left="425" w:hanging="425"/>
      </w:pPr>
      <w:rPr>
        <w:rFonts w:hint="default"/>
      </w:rPr>
    </w:lvl>
  </w:abstractNum>
  <w:abstractNum w:abstractNumId="4">
    <w:nsid w:val="A70850DF"/>
    <w:multiLevelType w:val="singleLevel"/>
    <w:tmpl w:val="A70850DF"/>
    <w:lvl w:ilvl="0" w:tentative="0">
      <w:start w:val="1"/>
      <w:numFmt w:val="decimal"/>
      <w:lvlText w:val="%1)"/>
      <w:lvlJc w:val="left"/>
      <w:pPr>
        <w:ind w:left="425" w:hanging="425"/>
      </w:pPr>
      <w:rPr>
        <w:rFonts w:hint="default"/>
      </w:rPr>
    </w:lvl>
  </w:abstractNum>
  <w:abstractNum w:abstractNumId="5">
    <w:nsid w:val="A7A9EB1C"/>
    <w:multiLevelType w:val="singleLevel"/>
    <w:tmpl w:val="A7A9EB1C"/>
    <w:lvl w:ilvl="0" w:tentative="0">
      <w:start w:val="1"/>
      <w:numFmt w:val="decimalEnclosedCircleChinese"/>
      <w:suff w:val="nothing"/>
      <w:lvlText w:val="%1　"/>
      <w:lvlJc w:val="left"/>
      <w:pPr>
        <w:ind w:left="0" w:firstLine="400"/>
      </w:pPr>
      <w:rPr>
        <w:rFonts w:hint="eastAsia"/>
      </w:rPr>
    </w:lvl>
  </w:abstractNum>
  <w:abstractNum w:abstractNumId="6">
    <w:nsid w:val="B1715922"/>
    <w:multiLevelType w:val="singleLevel"/>
    <w:tmpl w:val="B1715922"/>
    <w:lvl w:ilvl="0" w:tentative="0">
      <w:start w:val="1"/>
      <w:numFmt w:val="decimal"/>
      <w:lvlText w:val="(%1)"/>
      <w:lvlJc w:val="left"/>
      <w:pPr>
        <w:ind w:left="425" w:hanging="425"/>
      </w:pPr>
      <w:rPr>
        <w:rFonts w:hint="default"/>
      </w:rPr>
    </w:lvl>
  </w:abstractNum>
  <w:abstractNum w:abstractNumId="7">
    <w:nsid w:val="B188E8A9"/>
    <w:multiLevelType w:val="singleLevel"/>
    <w:tmpl w:val="B188E8A9"/>
    <w:lvl w:ilvl="0" w:tentative="0">
      <w:start w:val="1"/>
      <w:numFmt w:val="decimal"/>
      <w:lvlText w:val="%1)"/>
      <w:lvlJc w:val="left"/>
      <w:pPr>
        <w:ind w:left="425" w:hanging="425"/>
      </w:pPr>
      <w:rPr>
        <w:rFonts w:hint="default"/>
      </w:rPr>
    </w:lvl>
  </w:abstractNum>
  <w:abstractNum w:abstractNumId="8">
    <w:nsid w:val="B7A756E4"/>
    <w:multiLevelType w:val="singleLevel"/>
    <w:tmpl w:val="B7A756E4"/>
    <w:lvl w:ilvl="0" w:tentative="0">
      <w:start w:val="1"/>
      <w:numFmt w:val="decimal"/>
      <w:lvlText w:val="%1)"/>
      <w:lvlJc w:val="left"/>
      <w:pPr>
        <w:ind w:left="425" w:hanging="425"/>
      </w:pPr>
      <w:rPr>
        <w:rFonts w:hint="default"/>
      </w:rPr>
    </w:lvl>
  </w:abstractNum>
  <w:abstractNum w:abstractNumId="9">
    <w:nsid w:val="B94010F9"/>
    <w:multiLevelType w:val="singleLevel"/>
    <w:tmpl w:val="B94010F9"/>
    <w:lvl w:ilvl="0" w:tentative="0">
      <w:start w:val="1"/>
      <w:numFmt w:val="decimal"/>
      <w:lvlText w:val="(%1)"/>
      <w:lvlJc w:val="left"/>
      <w:pPr>
        <w:ind w:left="425" w:hanging="425"/>
      </w:pPr>
      <w:rPr>
        <w:rFonts w:hint="default"/>
      </w:rPr>
    </w:lvl>
  </w:abstractNum>
  <w:abstractNum w:abstractNumId="10">
    <w:nsid w:val="BB50A68C"/>
    <w:multiLevelType w:val="singleLevel"/>
    <w:tmpl w:val="BB50A68C"/>
    <w:lvl w:ilvl="0" w:tentative="0">
      <w:start w:val="1"/>
      <w:numFmt w:val="decimal"/>
      <w:lvlText w:val="(%1)"/>
      <w:lvlJc w:val="left"/>
      <w:pPr>
        <w:ind w:left="425" w:hanging="425"/>
      </w:pPr>
      <w:rPr>
        <w:rFonts w:hint="default"/>
      </w:rPr>
    </w:lvl>
  </w:abstractNum>
  <w:abstractNum w:abstractNumId="11">
    <w:nsid w:val="BD1B9892"/>
    <w:multiLevelType w:val="singleLevel"/>
    <w:tmpl w:val="BD1B9892"/>
    <w:lvl w:ilvl="0" w:tentative="0">
      <w:start w:val="1"/>
      <w:numFmt w:val="decimal"/>
      <w:lvlText w:val="%1)"/>
      <w:lvlJc w:val="left"/>
      <w:pPr>
        <w:ind w:left="425" w:hanging="425"/>
      </w:pPr>
      <w:rPr>
        <w:rFonts w:hint="default"/>
      </w:rPr>
    </w:lvl>
  </w:abstractNum>
  <w:abstractNum w:abstractNumId="12">
    <w:nsid w:val="BDAD3B68"/>
    <w:multiLevelType w:val="singleLevel"/>
    <w:tmpl w:val="BDAD3B68"/>
    <w:lvl w:ilvl="0" w:tentative="0">
      <w:start w:val="1"/>
      <w:numFmt w:val="decimal"/>
      <w:lvlText w:val="(%1)"/>
      <w:lvlJc w:val="left"/>
      <w:pPr>
        <w:ind w:left="425" w:hanging="425"/>
      </w:pPr>
      <w:rPr>
        <w:rFonts w:hint="default"/>
      </w:rPr>
    </w:lvl>
  </w:abstractNum>
  <w:abstractNum w:abstractNumId="13">
    <w:nsid w:val="D3619E13"/>
    <w:multiLevelType w:val="singleLevel"/>
    <w:tmpl w:val="D3619E13"/>
    <w:lvl w:ilvl="0" w:tentative="0">
      <w:start w:val="1"/>
      <w:numFmt w:val="decimal"/>
      <w:lvlText w:val="%1)"/>
      <w:lvlJc w:val="left"/>
      <w:pPr>
        <w:ind w:left="425" w:hanging="425"/>
      </w:pPr>
      <w:rPr>
        <w:rFonts w:hint="default"/>
      </w:rPr>
    </w:lvl>
  </w:abstractNum>
  <w:abstractNum w:abstractNumId="14">
    <w:nsid w:val="D7C85277"/>
    <w:multiLevelType w:val="singleLevel"/>
    <w:tmpl w:val="D7C85277"/>
    <w:lvl w:ilvl="0" w:tentative="0">
      <w:start w:val="1"/>
      <w:numFmt w:val="decimalEnclosedCircleChinese"/>
      <w:suff w:val="nothing"/>
      <w:lvlText w:val="%1　"/>
      <w:lvlJc w:val="left"/>
      <w:pPr>
        <w:ind w:left="0" w:firstLine="400"/>
      </w:pPr>
      <w:rPr>
        <w:rFonts w:hint="eastAsia"/>
      </w:rPr>
    </w:lvl>
  </w:abstractNum>
  <w:abstractNum w:abstractNumId="15">
    <w:nsid w:val="DBFBEA8F"/>
    <w:multiLevelType w:val="singleLevel"/>
    <w:tmpl w:val="DBFBEA8F"/>
    <w:lvl w:ilvl="0" w:tentative="0">
      <w:start w:val="1"/>
      <w:numFmt w:val="decimal"/>
      <w:lvlText w:val="(%1)"/>
      <w:lvlJc w:val="left"/>
      <w:pPr>
        <w:ind w:left="425" w:hanging="425"/>
      </w:pPr>
      <w:rPr>
        <w:rFonts w:hint="default"/>
      </w:rPr>
    </w:lvl>
  </w:abstractNum>
  <w:abstractNum w:abstractNumId="16">
    <w:nsid w:val="DDDF1F6B"/>
    <w:multiLevelType w:val="singleLevel"/>
    <w:tmpl w:val="DDDF1F6B"/>
    <w:lvl w:ilvl="0" w:tentative="0">
      <w:start w:val="1"/>
      <w:numFmt w:val="decimal"/>
      <w:lvlText w:val="(%1)"/>
      <w:lvlJc w:val="left"/>
      <w:pPr>
        <w:ind w:left="425" w:hanging="425"/>
      </w:pPr>
      <w:rPr>
        <w:rFonts w:hint="default"/>
      </w:rPr>
    </w:lvl>
  </w:abstractNum>
  <w:abstractNum w:abstractNumId="17">
    <w:nsid w:val="EC0281AC"/>
    <w:multiLevelType w:val="singleLevel"/>
    <w:tmpl w:val="EC0281AC"/>
    <w:lvl w:ilvl="0" w:tentative="0">
      <w:start w:val="1"/>
      <w:numFmt w:val="decimal"/>
      <w:lvlText w:val="(%1)"/>
      <w:lvlJc w:val="left"/>
      <w:pPr>
        <w:ind w:left="425" w:hanging="425"/>
      </w:pPr>
      <w:rPr>
        <w:rFonts w:hint="default"/>
      </w:rPr>
    </w:lvl>
  </w:abstractNum>
  <w:abstractNum w:abstractNumId="18">
    <w:nsid w:val="EF82BFD4"/>
    <w:multiLevelType w:val="singleLevel"/>
    <w:tmpl w:val="EF82BFD4"/>
    <w:lvl w:ilvl="0" w:tentative="0">
      <w:start w:val="3"/>
      <w:numFmt w:val="chineseCounting"/>
      <w:suff w:val="nothing"/>
      <w:lvlText w:val="%1、"/>
      <w:lvlJc w:val="left"/>
      <w:rPr>
        <w:rFonts w:hint="eastAsia"/>
      </w:rPr>
    </w:lvl>
  </w:abstractNum>
  <w:abstractNum w:abstractNumId="19">
    <w:nsid w:val="F06C8E94"/>
    <w:multiLevelType w:val="singleLevel"/>
    <w:tmpl w:val="F06C8E94"/>
    <w:lvl w:ilvl="0" w:tentative="0">
      <w:start w:val="1"/>
      <w:numFmt w:val="decimal"/>
      <w:lvlText w:val="(%1)"/>
      <w:lvlJc w:val="left"/>
      <w:pPr>
        <w:ind w:left="425" w:hanging="425"/>
      </w:pPr>
      <w:rPr>
        <w:rFonts w:hint="default"/>
      </w:rPr>
    </w:lvl>
  </w:abstractNum>
  <w:abstractNum w:abstractNumId="20">
    <w:nsid w:val="F9B78533"/>
    <w:multiLevelType w:val="singleLevel"/>
    <w:tmpl w:val="F9B78533"/>
    <w:lvl w:ilvl="0" w:tentative="0">
      <w:start w:val="1"/>
      <w:numFmt w:val="decimal"/>
      <w:lvlText w:val="%1)"/>
      <w:lvlJc w:val="left"/>
      <w:pPr>
        <w:ind w:left="425" w:hanging="425"/>
      </w:pPr>
      <w:rPr>
        <w:rFonts w:hint="default"/>
      </w:rPr>
    </w:lvl>
  </w:abstractNum>
  <w:abstractNum w:abstractNumId="21">
    <w:nsid w:val="FC99BC04"/>
    <w:multiLevelType w:val="singleLevel"/>
    <w:tmpl w:val="FC99BC04"/>
    <w:lvl w:ilvl="0" w:tentative="0">
      <w:start w:val="1"/>
      <w:numFmt w:val="decimal"/>
      <w:lvlText w:val="(%1)"/>
      <w:lvlJc w:val="left"/>
      <w:pPr>
        <w:ind w:left="425" w:hanging="425"/>
      </w:pPr>
      <w:rPr>
        <w:rFonts w:hint="default"/>
      </w:rPr>
    </w:lvl>
  </w:abstractNum>
  <w:abstractNum w:abstractNumId="22">
    <w:nsid w:val="FE4D3901"/>
    <w:multiLevelType w:val="singleLevel"/>
    <w:tmpl w:val="FE4D3901"/>
    <w:lvl w:ilvl="0" w:tentative="0">
      <w:start w:val="1"/>
      <w:numFmt w:val="decimal"/>
      <w:lvlText w:val="(%1)"/>
      <w:lvlJc w:val="left"/>
      <w:pPr>
        <w:ind w:left="425" w:hanging="425"/>
      </w:pPr>
      <w:rPr>
        <w:rFonts w:hint="default"/>
      </w:rPr>
    </w:lvl>
  </w:abstractNum>
  <w:abstractNum w:abstractNumId="23">
    <w:nsid w:val="FF04B994"/>
    <w:multiLevelType w:val="singleLevel"/>
    <w:tmpl w:val="FF04B994"/>
    <w:lvl w:ilvl="0" w:tentative="0">
      <w:start w:val="1"/>
      <w:numFmt w:val="decimal"/>
      <w:lvlText w:val="(%1)"/>
      <w:lvlJc w:val="left"/>
      <w:pPr>
        <w:ind w:left="425" w:hanging="425"/>
      </w:pPr>
      <w:rPr>
        <w:rFonts w:hint="default"/>
      </w:rPr>
    </w:lvl>
  </w:abstractNum>
  <w:abstractNum w:abstractNumId="24">
    <w:nsid w:val="0B296BA9"/>
    <w:multiLevelType w:val="singleLevel"/>
    <w:tmpl w:val="0B296BA9"/>
    <w:lvl w:ilvl="0" w:tentative="0">
      <w:start w:val="1"/>
      <w:numFmt w:val="decimalEnclosedCircleChinese"/>
      <w:suff w:val="nothing"/>
      <w:lvlText w:val="%1　"/>
      <w:lvlJc w:val="left"/>
      <w:pPr>
        <w:ind w:left="0" w:firstLine="400"/>
      </w:pPr>
      <w:rPr>
        <w:rFonts w:hint="eastAsia"/>
      </w:rPr>
    </w:lvl>
  </w:abstractNum>
  <w:abstractNum w:abstractNumId="25">
    <w:nsid w:val="146C86E6"/>
    <w:multiLevelType w:val="singleLevel"/>
    <w:tmpl w:val="146C86E6"/>
    <w:lvl w:ilvl="0" w:tentative="0">
      <w:start w:val="1"/>
      <w:numFmt w:val="decimal"/>
      <w:suff w:val="nothing"/>
      <w:lvlText w:val="（%1）"/>
      <w:lvlJc w:val="left"/>
      <w:pPr>
        <w:ind w:left="-20"/>
      </w:pPr>
    </w:lvl>
  </w:abstractNum>
  <w:abstractNum w:abstractNumId="26">
    <w:nsid w:val="210EABB0"/>
    <w:multiLevelType w:val="singleLevel"/>
    <w:tmpl w:val="210EABB0"/>
    <w:lvl w:ilvl="0" w:tentative="0">
      <w:start w:val="1"/>
      <w:numFmt w:val="decimal"/>
      <w:lvlText w:val="(%1)"/>
      <w:lvlJc w:val="left"/>
      <w:pPr>
        <w:ind w:left="425" w:hanging="425"/>
      </w:pPr>
      <w:rPr>
        <w:rFonts w:hint="default"/>
      </w:rPr>
    </w:lvl>
  </w:abstractNum>
  <w:abstractNum w:abstractNumId="27">
    <w:nsid w:val="2148AABE"/>
    <w:multiLevelType w:val="singleLevel"/>
    <w:tmpl w:val="2148AABE"/>
    <w:lvl w:ilvl="0" w:tentative="0">
      <w:start w:val="1"/>
      <w:numFmt w:val="decimal"/>
      <w:lvlText w:val="%1)"/>
      <w:lvlJc w:val="left"/>
      <w:pPr>
        <w:ind w:left="709" w:hanging="425"/>
      </w:pPr>
      <w:rPr>
        <w:rFonts w:hint="default"/>
      </w:rPr>
    </w:lvl>
  </w:abstractNum>
  <w:abstractNum w:abstractNumId="28">
    <w:nsid w:val="215C00F5"/>
    <w:multiLevelType w:val="singleLevel"/>
    <w:tmpl w:val="215C00F5"/>
    <w:lvl w:ilvl="0" w:tentative="0">
      <w:start w:val="1"/>
      <w:numFmt w:val="decimalEnclosedCircleChinese"/>
      <w:suff w:val="nothing"/>
      <w:lvlText w:val="%1　"/>
      <w:lvlJc w:val="left"/>
      <w:pPr>
        <w:ind w:left="0" w:firstLine="400"/>
      </w:pPr>
      <w:rPr>
        <w:rFonts w:hint="eastAsia"/>
      </w:rPr>
    </w:lvl>
  </w:abstractNum>
  <w:abstractNum w:abstractNumId="29">
    <w:nsid w:val="21C66089"/>
    <w:multiLevelType w:val="singleLevel"/>
    <w:tmpl w:val="21C66089"/>
    <w:lvl w:ilvl="0" w:tentative="0">
      <w:start w:val="1"/>
      <w:numFmt w:val="decimal"/>
      <w:lvlText w:val="%1)"/>
      <w:lvlJc w:val="left"/>
      <w:pPr>
        <w:ind w:left="709" w:hanging="425"/>
      </w:pPr>
      <w:rPr>
        <w:rFonts w:hint="default"/>
      </w:rPr>
    </w:lvl>
  </w:abstractNum>
  <w:abstractNum w:abstractNumId="30">
    <w:nsid w:val="2983C931"/>
    <w:multiLevelType w:val="singleLevel"/>
    <w:tmpl w:val="2983C931"/>
    <w:lvl w:ilvl="0" w:tentative="0">
      <w:start w:val="1"/>
      <w:numFmt w:val="decimal"/>
      <w:lvlText w:val="%1)"/>
      <w:lvlJc w:val="left"/>
      <w:pPr>
        <w:ind w:left="425" w:hanging="425"/>
      </w:pPr>
      <w:rPr>
        <w:rFonts w:hint="default"/>
      </w:rPr>
    </w:lvl>
  </w:abstractNum>
  <w:abstractNum w:abstractNumId="31">
    <w:nsid w:val="2AAF4FE8"/>
    <w:multiLevelType w:val="singleLevel"/>
    <w:tmpl w:val="2AAF4FE8"/>
    <w:lvl w:ilvl="0" w:tentative="0">
      <w:start w:val="1"/>
      <w:numFmt w:val="decimal"/>
      <w:lvlText w:val="(%1)"/>
      <w:lvlJc w:val="left"/>
      <w:pPr>
        <w:ind w:left="425" w:hanging="425"/>
      </w:pPr>
      <w:rPr>
        <w:rFonts w:hint="default"/>
      </w:rPr>
    </w:lvl>
  </w:abstractNum>
  <w:abstractNum w:abstractNumId="32">
    <w:nsid w:val="3EBA357F"/>
    <w:multiLevelType w:val="singleLevel"/>
    <w:tmpl w:val="3EBA357F"/>
    <w:lvl w:ilvl="0" w:tentative="0">
      <w:start w:val="1"/>
      <w:numFmt w:val="decimal"/>
      <w:lvlText w:val="%1)"/>
      <w:lvlJc w:val="left"/>
      <w:pPr>
        <w:ind w:left="850" w:hanging="425"/>
      </w:pPr>
      <w:rPr>
        <w:rFonts w:hint="default"/>
      </w:rPr>
    </w:lvl>
  </w:abstractNum>
  <w:abstractNum w:abstractNumId="33">
    <w:nsid w:val="47AE259C"/>
    <w:multiLevelType w:val="singleLevel"/>
    <w:tmpl w:val="47AE259C"/>
    <w:lvl w:ilvl="0" w:tentative="0">
      <w:start w:val="1"/>
      <w:numFmt w:val="decimal"/>
      <w:lvlText w:val="%1)"/>
      <w:lvlJc w:val="left"/>
      <w:pPr>
        <w:ind w:left="709" w:hanging="425"/>
      </w:pPr>
      <w:rPr>
        <w:rFonts w:hint="default"/>
      </w:rPr>
    </w:lvl>
  </w:abstractNum>
  <w:abstractNum w:abstractNumId="34">
    <w:nsid w:val="489B87FB"/>
    <w:multiLevelType w:val="singleLevel"/>
    <w:tmpl w:val="489B87FB"/>
    <w:lvl w:ilvl="0" w:tentative="0">
      <w:start w:val="1"/>
      <w:numFmt w:val="decimal"/>
      <w:lvlText w:val="(%1)"/>
      <w:lvlJc w:val="left"/>
      <w:pPr>
        <w:ind w:left="425" w:hanging="425"/>
      </w:pPr>
      <w:rPr>
        <w:rFonts w:hint="default"/>
      </w:rPr>
    </w:lvl>
  </w:abstractNum>
  <w:abstractNum w:abstractNumId="35">
    <w:nsid w:val="498F2DCF"/>
    <w:multiLevelType w:val="singleLevel"/>
    <w:tmpl w:val="498F2DCF"/>
    <w:lvl w:ilvl="0" w:tentative="0">
      <w:start w:val="1"/>
      <w:numFmt w:val="decimal"/>
      <w:lvlText w:val="%1)"/>
      <w:lvlJc w:val="left"/>
      <w:pPr>
        <w:ind w:left="850" w:hanging="425"/>
      </w:pPr>
      <w:rPr>
        <w:rFonts w:hint="default"/>
      </w:rPr>
    </w:lvl>
  </w:abstractNum>
  <w:abstractNum w:abstractNumId="36">
    <w:nsid w:val="4B983A35"/>
    <w:multiLevelType w:val="singleLevel"/>
    <w:tmpl w:val="4B983A35"/>
    <w:lvl w:ilvl="0" w:tentative="0">
      <w:start w:val="1"/>
      <w:numFmt w:val="decimal"/>
      <w:lvlText w:val="(%1)"/>
      <w:lvlJc w:val="left"/>
      <w:pPr>
        <w:ind w:left="425" w:hanging="425"/>
      </w:pPr>
      <w:rPr>
        <w:rFonts w:hint="default"/>
      </w:rPr>
    </w:lvl>
  </w:abstractNum>
  <w:abstractNum w:abstractNumId="37">
    <w:nsid w:val="56270F18"/>
    <w:multiLevelType w:val="singleLevel"/>
    <w:tmpl w:val="56270F18"/>
    <w:lvl w:ilvl="0" w:tentative="0">
      <w:start w:val="1"/>
      <w:numFmt w:val="decimal"/>
      <w:lvlText w:val="(%1)"/>
      <w:lvlJc w:val="left"/>
      <w:pPr>
        <w:ind w:left="425" w:hanging="425"/>
      </w:pPr>
      <w:rPr>
        <w:rFonts w:hint="default"/>
      </w:rPr>
    </w:lvl>
  </w:abstractNum>
  <w:abstractNum w:abstractNumId="38">
    <w:nsid w:val="599E34D6"/>
    <w:multiLevelType w:val="multilevel"/>
    <w:tmpl w:val="599E34D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9">
    <w:nsid w:val="5AD8425B"/>
    <w:multiLevelType w:val="singleLevel"/>
    <w:tmpl w:val="5AD8425B"/>
    <w:lvl w:ilvl="0" w:tentative="0">
      <w:start w:val="1"/>
      <w:numFmt w:val="decimal"/>
      <w:lvlText w:val="%1)"/>
      <w:lvlJc w:val="left"/>
      <w:pPr>
        <w:ind w:left="425" w:hanging="425"/>
      </w:pPr>
      <w:rPr>
        <w:rFonts w:hint="default"/>
      </w:rPr>
    </w:lvl>
  </w:abstractNum>
  <w:abstractNum w:abstractNumId="40">
    <w:nsid w:val="5CAAFC58"/>
    <w:multiLevelType w:val="singleLevel"/>
    <w:tmpl w:val="5CAAFC58"/>
    <w:lvl w:ilvl="0" w:tentative="0">
      <w:start w:val="1"/>
      <w:numFmt w:val="decimal"/>
      <w:suff w:val="nothing"/>
      <w:lvlText w:val="（%1）"/>
      <w:lvlJc w:val="left"/>
      <w:pPr>
        <w:ind w:left="-20"/>
      </w:pPr>
    </w:lvl>
  </w:abstractNum>
  <w:abstractNum w:abstractNumId="41">
    <w:nsid w:val="6355A233"/>
    <w:multiLevelType w:val="singleLevel"/>
    <w:tmpl w:val="6355A233"/>
    <w:lvl w:ilvl="0" w:tentative="0">
      <w:start w:val="1"/>
      <w:numFmt w:val="decimal"/>
      <w:lvlText w:val="%1)"/>
      <w:lvlJc w:val="left"/>
      <w:pPr>
        <w:ind w:left="425" w:hanging="425"/>
      </w:pPr>
      <w:rPr>
        <w:rFonts w:hint="default"/>
      </w:rPr>
    </w:lvl>
  </w:abstractNum>
  <w:abstractNum w:abstractNumId="42">
    <w:nsid w:val="7277A60F"/>
    <w:multiLevelType w:val="singleLevel"/>
    <w:tmpl w:val="7277A60F"/>
    <w:lvl w:ilvl="0" w:tentative="0">
      <w:start w:val="1"/>
      <w:numFmt w:val="decimal"/>
      <w:lvlText w:val="(%1)"/>
      <w:lvlJc w:val="left"/>
      <w:pPr>
        <w:ind w:left="425" w:hanging="425"/>
      </w:pPr>
      <w:rPr>
        <w:rFonts w:hint="default"/>
      </w:rPr>
    </w:lvl>
  </w:abstractNum>
  <w:abstractNum w:abstractNumId="43">
    <w:nsid w:val="733996B9"/>
    <w:multiLevelType w:val="singleLevel"/>
    <w:tmpl w:val="733996B9"/>
    <w:lvl w:ilvl="0" w:tentative="0">
      <w:start w:val="1"/>
      <w:numFmt w:val="decimal"/>
      <w:lvlText w:val="(%1)"/>
      <w:lvlJc w:val="left"/>
      <w:pPr>
        <w:ind w:left="425" w:hanging="425"/>
      </w:pPr>
      <w:rPr>
        <w:rFonts w:hint="default"/>
      </w:rPr>
    </w:lvl>
  </w:abstractNum>
  <w:num w:numId="1">
    <w:abstractNumId w:val="38"/>
  </w:num>
  <w:num w:numId="2">
    <w:abstractNumId w:val="18"/>
  </w:num>
  <w:num w:numId="3">
    <w:abstractNumId w:val="25"/>
  </w:num>
  <w:num w:numId="4">
    <w:abstractNumId w:val="40"/>
  </w:num>
  <w:num w:numId="5">
    <w:abstractNumId w:val="26"/>
  </w:num>
  <w:num w:numId="6">
    <w:abstractNumId w:val="27"/>
  </w:num>
  <w:num w:numId="7">
    <w:abstractNumId w:val="35"/>
  </w:num>
  <w:num w:numId="8">
    <w:abstractNumId w:val="32"/>
  </w:num>
  <w:num w:numId="9">
    <w:abstractNumId w:val="6"/>
  </w:num>
  <w:num w:numId="10">
    <w:abstractNumId w:val="15"/>
  </w:num>
  <w:num w:numId="11">
    <w:abstractNumId w:val="43"/>
  </w:num>
  <w:num w:numId="12">
    <w:abstractNumId w:val="23"/>
  </w:num>
  <w:num w:numId="13">
    <w:abstractNumId w:val="10"/>
  </w:num>
  <w:num w:numId="14">
    <w:abstractNumId w:val="21"/>
  </w:num>
  <w:num w:numId="15">
    <w:abstractNumId w:val="22"/>
  </w:num>
  <w:num w:numId="16">
    <w:abstractNumId w:val="17"/>
  </w:num>
  <w:num w:numId="17">
    <w:abstractNumId w:val="16"/>
  </w:num>
  <w:num w:numId="18">
    <w:abstractNumId w:val="29"/>
  </w:num>
  <w:num w:numId="19">
    <w:abstractNumId w:val="33"/>
  </w:num>
  <w:num w:numId="20">
    <w:abstractNumId w:val="19"/>
  </w:num>
  <w:num w:numId="21">
    <w:abstractNumId w:val="36"/>
  </w:num>
  <w:num w:numId="22">
    <w:abstractNumId w:val="3"/>
  </w:num>
  <w:num w:numId="23">
    <w:abstractNumId w:val="12"/>
  </w:num>
  <w:num w:numId="24">
    <w:abstractNumId w:val="37"/>
  </w:num>
  <w:num w:numId="25">
    <w:abstractNumId w:val="30"/>
  </w:num>
  <w:num w:numId="26">
    <w:abstractNumId w:val="41"/>
  </w:num>
  <w:num w:numId="27">
    <w:abstractNumId w:val="9"/>
  </w:num>
  <w:num w:numId="28">
    <w:abstractNumId w:val="39"/>
  </w:num>
  <w:num w:numId="29">
    <w:abstractNumId w:val="31"/>
  </w:num>
  <w:num w:numId="30">
    <w:abstractNumId w:val="7"/>
  </w:num>
  <w:num w:numId="31">
    <w:abstractNumId w:val="4"/>
  </w:num>
  <w:num w:numId="32">
    <w:abstractNumId w:val="28"/>
  </w:num>
  <w:num w:numId="33">
    <w:abstractNumId w:val="0"/>
  </w:num>
  <w:num w:numId="34">
    <w:abstractNumId w:val="42"/>
  </w:num>
  <w:num w:numId="35">
    <w:abstractNumId w:val="8"/>
  </w:num>
  <w:num w:numId="36">
    <w:abstractNumId w:val="20"/>
  </w:num>
  <w:num w:numId="37">
    <w:abstractNumId w:val="2"/>
  </w:num>
  <w:num w:numId="38">
    <w:abstractNumId w:val="1"/>
  </w:num>
  <w:num w:numId="39">
    <w:abstractNumId w:val="24"/>
  </w:num>
  <w:num w:numId="40">
    <w:abstractNumId w:val="14"/>
  </w:num>
  <w:num w:numId="41">
    <w:abstractNumId w:val="5"/>
  </w:num>
  <w:num w:numId="42">
    <w:abstractNumId w:val="34"/>
  </w:num>
  <w:num w:numId="43">
    <w:abstractNumId w:val="13"/>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4ODBiZTM2NTAyNzkzODY2NWZiODk3ZmRkZDBiMjkifQ=="/>
  </w:docVars>
  <w:rsids>
    <w:rsidRoot w:val="00000000"/>
    <w:rsid w:val="0F77279F"/>
    <w:rsid w:val="73CE4F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keepLines/>
      <w:spacing w:before="260" w:after="260" w:line="408" w:lineRule="auto"/>
      <w:outlineLvl w:val="1"/>
    </w:pPr>
    <w:rPr>
      <w:rFonts w:ascii="Arial" w:hAnsi="Arial" w:eastAsia="黑体"/>
      <w:sz w:val="28"/>
      <w:szCs w:val="32"/>
    </w:rPr>
  </w:style>
  <w:style w:type="paragraph" w:styleId="4">
    <w:name w:val="heading 3"/>
    <w:basedOn w:val="1"/>
    <w:next w:val="1"/>
    <w:qFormat/>
    <w:uiPriority w:val="0"/>
    <w:pPr>
      <w:keepNext/>
      <w:keepLines/>
      <w:numPr>
        <w:ilvl w:val="2"/>
        <w:numId w:val="1"/>
      </w:numPr>
      <w:spacing w:before="260" w:after="260" w:line="413" w:lineRule="auto"/>
      <w:outlineLvl w:val="2"/>
    </w:pPr>
    <w:rPr>
      <w:b/>
      <w:sz w:val="32"/>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toc 2"/>
    <w:basedOn w:val="1"/>
    <w:next w:val="1"/>
    <w:uiPriority w:val="39"/>
    <w:pPr>
      <w:tabs>
        <w:tab w:val="right" w:leader="dot" w:pos="8302"/>
      </w:tabs>
      <w:ind w:leftChars="200"/>
    </w:pPr>
    <w:rPr>
      <w:b/>
      <w:sz w:val="24"/>
    </w:rPr>
  </w:style>
  <w:style w:type="paragraph" w:styleId="5">
    <w:name w:val="annotation text"/>
    <w:basedOn w:val="1"/>
    <w:semiHidden/>
    <w:qFormat/>
    <w:uiPriority w:val="0"/>
    <w:pPr>
      <w:jc w:val="left"/>
    </w:pPr>
  </w:style>
  <w:style w:type="paragraph" w:styleId="6">
    <w:name w:val="Body Text Indent"/>
    <w:basedOn w:val="1"/>
    <w:next w:val="1"/>
    <w:qFormat/>
    <w:uiPriority w:val="0"/>
    <w:pPr>
      <w:adjustRightInd w:val="0"/>
      <w:spacing w:line="360" w:lineRule="auto"/>
      <w:ind w:firstLine="490"/>
      <w:jc w:val="left"/>
    </w:pPr>
    <w:rPr>
      <w:rFonts w:ascii="宋体" w:hAnsi="宋体"/>
      <w:sz w:val="24"/>
    </w:rPr>
  </w:style>
  <w:style w:type="paragraph" w:styleId="7">
    <w:name w:val="Block Text"/>
    <w:basedOn w:val="1"/>
    <w:qFormat/>
    <w:uiPriority w:val="0"/>
    <w:pPr>
      <w:adjustRightInd w:val="0"/>
      <w:spacing w:line="300" w:lineRule="auto"/>
      <w:ind w:left="958" w:rightChars="-120"/>
      <w:jc w:val="left"/>
    </w:pPr>
    <w:rPr>
      <w:rFonts w:ascii="宋体" w:hAnsi="宋体"/>
      <w:sz w:val="28"/>
    </w:rPr>
  </w:style>
  <w:style w:type="paragraph" w:styleId="8">
    <w:name w:val="Plain Text"/>
    <w:basedOn w:val="1"/>
    <w:next w:val="2"/>
    <w:qFormat/>
    <w:uiPriority w:val="0"/>
    <w:rPr>
      <w:rFonts w:ascii="宋体" w:hAnsi="Courier New" w:cs="Courier New"/>
      <w:snapToGrid w:val="0"/>
      <w:sz w:val="18"/>
      <w:szCs w:val="21"/>
    </w:rPr>
  </w:style>
  <w:style w:type="paragraph" w:styleId="9">
    <w:name w:val="footer"/>
    <w:basedOn w:val="1"/>
    <w:uiPriority w:val="99"/>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uiPriority w:val="0"/>
    <w:pPr>
      <w:widowControl/>
      <w:spacing w:before="100" w:beforeAutospacing="1" w:after="100" w:afterAutospacing="1"/>
      <w:jc w:val="left"/>
    </w:pPr>
    <w:rPr>
      <w:rFonts w:ascii="宋体" w:hAnsi="宋体" w:cs="宋体"/>
      <w:color w:val="000000"/>
      <w:kern w:val="0"/>
      <w:sz w:val="24"/>
      <w:szCs w:val="24"/>
    </w:rPr>
  </w:style>
  <w:style w:type="paragraph" w:styleId="12">
    <w:name w:val="Body Text First Indent 2"/>
    <w:basedOn w:val="6"/>
    <w:next w:val="1"/>
    <w:qFormat/>
    <w:uiPriority w:val="99"/>
    <w:pPr>
      <w:autoSpaceDE w:val="0"/>
      <w:autoSpaceDN w:val="0"/>
      <w:adjustRightInd w:val="0"/>
      <w:spacing w:after="120" w:line="240" w:lineRule="auto"/>
      <w:ind w:left="420" w:leftChars="200" w:firstLine="420" w:firstLineChars="200"/>
      <w:textAlignment w:val="baseline"/>
    </w:pPr>
    <w:rPr>
      <w:rFonts w:ascii="Times New Roman" w:hAnsi="Times New Roman"/>
      <w:spacing w:val="0"/>
      <w:kern w:val="0"/>
      <w:sz w:val="28"/>
    </w:rPr>
  </w:style>
  <w:style w:type="character" w:styleId="15">
    <w:name w:val="Strong"/>
    <w:qFormat/>
    <w:uiPriority w:val="0"/>
    <w:rPr>
      <w:b/>
      <w:bCs/>
    </w:rPr>
  </w:style>
  <w:style w:type="character" w:styleId="16">
    <w:name w:val="Hyperlink"/>
    <w:qFormat/>
    <w:uiPriority w:val="99"/>
    <w:rPr>
      <w:color w:val="0000FF"/>
      <w:u w:val="single"/>
    </w:rPr>
  </w:style>
  <w:style w:type="character" w:customStyle="1" w:styleId="17">
    <w:name w:val="标题 1 Char"/>
    <w:qFormat/>
    <w:uiPriority w:val="0"/>
    <w:rPr>
      <w:rFonts w:hint="eastAsia" w:ascii="黑体" w:eastAsia="黑体"/>
      <w:b/>
      <w:bCs/>
      <w:snapToGrid w:val="0"/>
      <w:kern w:val="44"/>
      <w:sz w:val="36"/>
      <w:szCs w:val="44"/>
      <w:lang w:val="en-US" w:eastAsia="zh-CN" w:bidi="ar-SA"/>
    </w:rPr>
  </w:style>
  <w:style w:type="paragraph" w:styleId="18">
    <w:name w:val="List Paragraph"/>
    <w:basedOn w:val="1"/>
    <w:qFormat/>
    <w:uiPriority w:val="34"/>
    <w:pPr>
      <w:ind w:firstLine="420" w:firstLineChars="20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1308</Words>
  <Characters>1534</Characters>
  <Lines>0</Lines>
  <Paragraphs>0</Paragraphs>
  <TotalTime>0</TotalTime>
  <ScaleCrop>false</ScaleCrop>
  <LinksUpToDate>false</LinksUpToDate>
  <CharactersWithSpaces>1551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2022-07-07T13:41:00Z</dcterms:created>
  <dc:creator>hanfeng</dc:creator>
  <cp:lastModifiedBy>hanfeng</cp:lastModifiedBy>
  <dcterms:modified xsi:type="dcterms:W3CDTF">2022-07-07T13:56:48Z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D7D2BF0A6C3840FDAE5DBCEEBB73B9D5</vt:lpwstr>
  </property>
</Properties>
</file>