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采购需求</w:t>
      </w:r>
    </w:p>
    <w:p>
      <w:pPr>
        <w:snapToGrid w:val="0"/>
        <w:spacing w:line="360" w:lineRule="exact"/>
        <w:rPr>
          <w:rFonts w:hint="eastAsia" w:ascii="宋体" w:hAnsi="宋体" w:eastAsia="宋体" w:cs="宋体"/>
          <w:b/>
          <w:bCs/>
          <w:color w:val="auto"/>
          <w:spacing w:val="-6"/>
          <w:sz w:val="22"/>
          <w:szCs w:val="22"/>
          <w:highlight w:val="none"/>
        </w:rPr>
      </w:pPr>
      <w:bookmarkStart w:id="0" w:name="_Toc479839540"/>
      <w:r>
        <w:rPr>
          <w:rFonts w:hint="eastAsia" w:ascii="宋体" w:hAnsi="宋体" w:eastAsia="宋体" w:cs="宋体"/>
          <w:b/>
          <w:bCs/>
          <w:color w:val="auto"/>
          <w:spacing w:val="-6"/>
          <w:sz w:val="22"/>
          <w:szCs w:val="22"/>
          <w:highlight w:val="none"/>
        </w:rPr>
        <w:t>一、采购内容及数量</w:t>
      </w:r>
    </w:p>
    <w:tbl>
      <w:tblPr>
        <w:tblStyle w:val="7"/>
        <w:tblW w:w="0" w:type="auto"/>
        <w:jc w:val="center"/>
        <w:tblLayout w:type="fixed"/>
        <w:tblCellMar>
          <w:top w:w="0" w:type="dxa"/>
          <w:left w:w="108" w:type="dxa"/>
          <w:bottom w:w="0" w:type="dxa"/>
          <w:right w:w="108" w:type="dxa"/>
        </w:tblCellMar>
      </w:tblPr>
      <w:tblGrid>
        <w:gridCol w:w="1038"/>
        <w:gridCol w:w="4189"/>
        <w:gridCol w:w="905"/>
        <w:gridCol w:w="1900"/>
        <w:gridCol w:w="1294"/>
      </w:tblGrid>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41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项目内容</w:t>
            </w:r>
          </w:p>
        </w:tc>
        <w:tc>
          <w:tcPr>
            <w:tcW w:w="905"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数量 </w:t>
            </w:r>
          </w:p>
        </w:tc>
        <w:tc>
          <w:tcPr>
            <w:tcW w:w="1900"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预算金额(元)</w:t>
            </w:r>
          </w:p>
        </w:tc>
        <w:tc>
          <w:tcPr>
            <w:tcW w:w="1294"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4189"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温州理工学院滨海校区标准化考场设备(重)</w:t>
            </w:r>
          </w:p>
        </w:tc>
        <w:tc>
          <w:tcPr>
            <w:tcW w:w="9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批</w:t>
            </w:r>
          </w:p>
        </w:tc>
        <w:tc>
          <w:tcPr>
            <w:tcW w:w="19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323507.00</w:t>
            </w:r>
          </w:p>
        </w:tc>
        <w:tc>
          <w:tcPr>
            <w:tcW w:w="12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xml:space="preserve"> </w:t>
            </w:r>
          </w:p>
        </w:tc>
      </w:tr>
    </w:tbl>
    <w:p>
      <w:pPr>
        <w:snapToGrid w:val="0"/>
        <w:spacing w:line="360" w:lineRule="exact"/>
        <w:outlineLvl w:val="0"/>
        <w:rPr>
          <w:rFonts w:hint="eastAsia" w:ascii="宋体" w:hAnsi="宋体" w:eastAsia="宋体" w:cs="宋体"/>
          <w:b/>
          <w:color w:val="auto"/>
          <w:spacing w:val="-6"/>
          <w:sz w:val="22"/>
          <w:szCs w:val="22"/>
          <w:highlight w:val="none"/>
        </w:rPr>
      </w:pPr>
      <w:r>
        <w:rPr>
          <w:rFonts w:hint="eastAsia" w:ascii="宋体" w:hAnsi="宋体" w:eastAsia="宋体" w:cs="宋体"/>
          <w:b/>
          <w:bCs/>
          <w:color w:val="auto"/>
          <w:kern w:val="0"/>
          <w:sz w:val="22"/>
          <w:szCs w:val="22"/>
          <w:highlight w:val="none"/>
        </w:rPr>
        <w:t>二、</w:t>
      </w:r>
      <w:r>
        <w:rPr>
          <w:rFonts w:hint="eastAsia" w:ascii="宋体" w:hAnsi="宋体" w:eastAsia="宋体" w:cs="宋体"/>
          <w:b/>
          <w:color w:val="auto"/>
          <w:spacing w:val="-6"/>
          <w:sz w:val="22"/>
          <w:szCs w:val="22"/>
          <w:highlight w:val="none"/>
        </w:rPr>
        <w:t>商务要求（技术要求里另有注明的以技术要求为准）</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1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after="0" w:line="360" w:lineRule="exact"/>
              <w:jc w:val="center"/>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支付方式</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s="宋体"/>
                <w:sz w:val="22"/>
                <w:u w:val="single"/>
              </w:rPr>
            </w:pPr>
            <w:bookmarkStart w:id="1" w:name="_GoBack"/>
            <w:r>
              <w:rPr>
                <w:rFonts w:hint="eastAsia" w:ascii="宋体" w:hAnsi="宋体" w:cs="宋体"/>
                <w:sz w:val="22"/>
                <w:u w:val="single"/>
              </w:rPr>
              <w:t>▲一、履约保证金支付</w:t>
            </w:r>
          </w:p>
          <w:p>
            <w:pPr>
              <w:widowControl/>
              <w:spacing w:line="360" w:lineRule="exact"/>
              <w:ind w:firstLine="440" w:firstLineChars="200"/>
              <w:jc w:val="left"/>
              <w:rPr>
                <w:rFonts w:ascii="宋体" w:hAnsi="宋体" w:cs="宋体"/>
                <w:sz w:val="22"/>
                <w:u w:val="single"/>
              </w:rPr>
            </w:pPr>
            <w:r>
              <w:rPr>
                <w:rFonts w:hint="eastAsia" w:ascii="宋体" w:hAnsi="宋体" w:cs="宋体"/>
                <w:sz w:val="22"/>
                <w:u w:val="single"/>
              </w:rPr>
              <w:t>合同签订后，成交供应商5个工作日内支付合同金额的1%作为履约保证金（以</w:t>
            </w:r>
            <w:r>
              <w:rPr>
                <w:rFonts w:hint="eastAsia" w:ascii="宋体" w:hAnsi="宋体" w:cs="Helvetica"/>
                <w:kern w:val="0"/>
                <w:szCs w:val="21"/>
                <w:u w:val="single"/>
              </w:rPr>
              <w:t>支票、汇票、本票或者金融机构、担保机构出具的保函等非现金形式提交</w:t>
            </w:r>
            <w:r>
              <w:rPr>
                <w:rFonts w:hint="eastAsia" w:ascii="宋体" w:hAnsi="宋体"/>
                <w:szCs w:val="21"/>
                <w:u w:val="single"/>
              </w:rPr>
              <w:t>。鼓励和支持供应商以银行、保险公司出具的保函形式提供履约保证金。</w:t>
            </w:r>
            <w:r>
              <w:rPr>
                <w:rFonts w:hint="eastAsia" w:ascii="宋体" w:hAnsi="宋体" w:cs="宋体"/>
                <w:sz w:val="22"/>
                <w:u w:val="single"/>
              </w:rPr>
              <w:t>），履约保证金自项目验收合格之日起无质量问题，采购人按程序在7个工作日内无息退还。</w:t>
            </w:r>
          </w:p>
          <w:p>
            <w:pPr>
              <w:widowControl/>
              <w:spacing w:line="360" w:lineRule="exact"/>
              <w:jc w:val="left"/>
              <w:rPr>
                <w:rFonts w:ascii="宋体" w:hAnsi="宋体" w:cs="宋体"/>
                <w:sz w:val="22"/>
                <w:u w:val="single"/>
              </w:rPr>
            </w:pPr>
            <w:r>
              <w:rPr>
                <w:rFonts w:hint="eastAsia" w:ascii="宋体" w:hAnsi="宋体" w:cs="宋体"/>
                <w:sz w:val="22"/>
                <w:u w:val="single"/>
              </w:rPr>
              <w:t>▲二、合同金额结算及支付方式：</w:t>
            </w:r>
          </w:p>
          <w:p>
            <w:pPr>
              <w:spacing w:line="360" w:lineRule="exact"/>
              <w:ind w:firstLine="440" w:firstLineChars="200"/>
              <w:rPr>
                <w:rFonts w:hint="eastAsia" w:ascii="宋体" w:hAnsi="宋体" w:cs="宋体"/>
                <w:sz w:val="22"/>
                <w:szCs w:val="22"/>
                <w:u w:val="single"/>
              </w:rPr>
            </w:pPr>
            <w:r>
              <w:rPr>
                <w:rFonts w:hint="eastAsia" w:ascii="宋体" w:hAnsi="宋体" w:cs="宋体"/>
                <w:sz w:val="22"/>
                <w:szCs w:val="22"/>
                <w:u w:val="single"/>
              </w:rPr>
              <w:t>合同生效</w:t>
            </w:r>
            <w:r>
              <w:rPr>
                <w:rFonts w:hint="eastAsia" w:ascii="宋体" w:hAnsi="宋体" w:cs="宋体"/>
                <w:bCs/>
                <w:sz w:val="22"/>
                <w:szCs w:val="22"/>
                <w:u w:val="single"/>
              </w:rPr>
              <w:t>、采购人收到成交供应商出具的合同金额40%保函</w:t>
            </w:r>
            <w:r>
              <w:rPr>
                <w:rFonts w:hint="eastAsia" w:ascii="宋体" w:hAnsi="宋体" w:cs="宋体"/>
                <w:sz w:val="22"/>
                <w:szCs w:val="22"/>
                <w:u w:val="single"/>
              </w:rPr>
              <w:t>以及具备实施条件后7个工作日内</w:t>
            </w:r>
            <w:r>
              <w:rPr>
                <w:rFonts w:hint="eastAsia" w:ascii="宋体" w:hAnsi="宋体" w:cs="宋体"/>
                <w:bCs/>
                <w:sz w:val="22"/>
                <w:szCs w:val="22"/>
                <w:u w:val="single"/>
              </w:rPr>
              <w:t>，向成交供应商支付合同总额40%的预付款</w:t>
            </w:r>
            <w:r>
              <w:rPr>
                <w:rFonts w:hint="eastAsia" w:ascii="宋体" w:hAnsi="宋体" w:cs="宋体"/>
                <w:sz w:val="22"/>
                <w:szCs w:val="22"/>
                <w:u w:val="single"/>
              </w:rPr>
              <w:t>，成交供应商</w:t>
            </w:r>
            <w:r>
              <w:rPr>
                <w:rFonts w:hint="eastAsia" w:ascii="宋体" w:hAnsi="宋体" w:cs="宋体"/>
                <w:sz w:val="22"/>
                <w:szCs w:val="22"/>
                <w:u w:val="single"/>
                <w:lang w:val="zh-CN"/>
              </w:rPr>
              <w:t>完成全部供货及安装、调试</w:t>
            </w:r>
            <w:r>
              <w:rPr>
                <w:rFonts w:hint="eastAsia" w:ascii="宋体" w:hAnsi="宋体" w:cs="宋体"/>
                <w:bCs/>
                <w:sz w:val="22"/>
                <w:szCs w:val="22"/>
                <w:u w:val="single"/>
                <w:lang w:val="zh-CN"/>
              </w:rPr>
              <w:t>、培训</w:t>
            </w:r>
            <w:r>
              <w:rPr>
                <w:rFonts w:hint="eastAsia" w:ascii="宋体" w:hAnsi="宋体" w:cs="宋体"/>
                <w:sz w:val="22"/>
                <w:szCs w:val="22"/>
                <w:u w:val="single"/>
                <w:lang w:val="zh-CN"/>
              </w:rPr>
              <w:t>，</w:t>
            </w:r>
            <w:r>
              <w:rPr>
                <w:rFonts w:hint="eastAsia" w:ascii="宋体" w:hAnsi="宋体" w:cs="宋体"/>
                <w:sz w:val="22"/>
                <w:szCs w:val="22"/>
                <w:u w:val="single"/>
              </w:rPr>
              <w:t>采购人</w:t>
            </w:r>
            <w:r>
              <w:rPr>
                <w:rFonts w:hint="eastAsia" w:ascii="宋体" w:hAnsi="宋体" w:cs="宋体"/>
                <w:sz w:val="22"/>
                <w:szCs w:val="22"/>
                <w:u w:val="single"/>
                <w:lang w:val="zh-CN"/>
              </w:rPr>
              <w:t>验收合格并入库后</w:t>
            </w:r>
            <w:r>
              <w:rPr>
                <w:rFonts w:hint="eastAsia" w:ascii="宋体" w:hAnsi="宋体" w:cs="宋体"/>
                <w:bCs/>
                <w:sz w:val="22"/>
                <w:szCs w:val="22"/>
                <w:u w:val="single"/>
                <w:lang w:val="zh-CN"/>
              </w:rPr>
              <w:t>，采购人支付剩余</w:t>
            </w:r>
            <w:r>
              <w:rPr>
                <w:rFonts w:hint="eastAsia" w:ascii="宋体" w:hAnsi="宋体" w:cs="宋体"/>
                <w:bCs/>
                <w:sz w:val="22"/>
                <w:szCs w:val="22"/>
                <w:u w:val="single"/>
              </w:rPr>
              <w:t>60%的</w:t>
            </w:r>
            <w:r>
              <w:rPr>
                <w:rFonts w:hint="eastAsia" w:ascii="宋体" w:hAnsi="宋体" w:cs="宋体"/>
                <w:bCs/>
                <w:sz w:val="22"/>
                <w:szCs w:val="22"/>
                <w:u w:val="single"/>
                <w:lang w:val="zh-CN"/>
              </w:rPr>
              <w:t>合同款并退还保函</w:t>
            </w:r>
            <w:r>
              <w:rPr>
                <w:rFonts w:hint="eastAsia" w:ascii="宋体" w:hAnsi="宋体" w:cs="宋体"/>
                <w:sz w:val="22"/>
                <w:szCs w:val="22"/>
                <w:u w:val="single"/>
              </w:rPr>
              <w:t>。</w:t>
            </w:r>
          </w:p>
          <w:p>
            <w:pPr>
              <w:keepNext w:val="0"/>
              <w:keepLines w:val="0"/>
              <w:pageBreakBefore w:val="0"/>
              <w:widowControl/>
              <w:kinsoku/>
              <w:wordWrap/>
              <w:overflowPunct/>
              <w:topLinePunct w:val="0"/>
              <w:autoSpaceDE/>
              <w:autoSpaceDN/>
              <w:bidi w:val="0"/>
              <w:adjustRightInd/>
              <w:spacing w:after="0" w:line="360" w:lineRule="exact"/>
              <w:jc w:val="left"/>
              <w:textAlignment w:val="auto"/>
              <w:rPr>
                <w:rFonts w:hint="eastAsia" w:ascii="宋体" w:hAnsi="宋体" w:eastAsia="宋体" w:cs="宋体"/>
                <w:b w:val="0"/>
                <w:bCs/>
                <w:color w:val="auto"/>
                <w:kern w:val="2"/>
                <w:sz w:val="22"/>
                <w:szCs w:val="22"/>
                <w:highlight w:val="none"/>
                <w:lang w:val="zh-CN" w:eastAsia="zh-CN" w:bidi="ar-SA"/>
              </w:rPr>
            </w:pPr>
            <w:r>
              <w:rPr>
                <w:rFonts w:hint="eastAsia" w:ascii="宋体" w:hAnsi="宋体" w:cs="宋体"/>
                <w:sz w:val="22"/>
                <w:szCs w:val="22"/>
                <w:u w:val="single"/>
              </w:rPr>
              <w:t>注：在签订合同时，成交供应商明确表示无需预付款或者主动要求降低预付款比例的，按实际比例计。</w:t>
            </w:r>
            <w:r>
              <w:rPr>
                <w:rFonts w:hint="eastAsia" w:ascii="宋体" w:hAnsi="宋体" w:cs="宋体"/>
                <w:sz w:val="22"/>
                <w:szCs w:val="22"/>
                <w:u w:val="single"/>
                <w:lang w:val="zh-CN"/>
              </w:rPr>
              <w:t>采购人对于满足合同约定支付条件的，自收到发票后7个工作日内将资金支付到合同约定的供应商账户。</w:t>
            </w:r>
            <w:bookmarkEnd w:id="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after="0" w:line="360" w:lineRule="exact"/>
              <w:jc w:val="center"/>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质保期</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after="0" w:line="360" w:lineRule="exact"/>
              <w:jc w:val="left"/>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sz w:val="22"/>
                <w:szCs w:val="22"/>
                <w:highlight w:val="none"/>
              </w:rPr>
              <w:t>系统质保期自验收之日起3年，在此保证期内，如在正常使用过程中出现的质量问题，供应商须负责免费维护或升级。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after="0" w:line="360" w:lineRule="exact"/>
              <w:jc w:val="center"/>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交付时间</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after="0" w:line="360" w:lineRule="exact"/>
              <w:jc w:val="left"/>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b w:val="0"/>
                <w:bCs/>
                <w:color w:val="auto"/>
                <w:sz w:val="22"/>
                <w:szCs w:val="22"/>
                <w:highlight w:val="none"/>
                <w:u w:val="none"/>
                <w:lang w:val="en-US" w:eastAsia="zh-CN"/>
              </w:rPr>
              <w:t>2022年8月30日前交货完毕并安装调试完成。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after="0" w:line="360" w:lineRule="exact"/>
              <w:jc w:val="center"/>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交付地点</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after="0" w:line="360" w:lineRule="exact"/>
              <w:jc w:val="left"/>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温州</w:t>
            </w:r>
            <w:r>
              <w:rPr>
                <w:rFonts w:hint="eastAsia" w:ascii="宋体" w:hAnsi="宋体" w:eastAsia="宋体" w:cs="宋体"/>
                <w:color w:val="auto"/>
                <w:kern w:val="0"/>
                <w:sz w:val="22"/>
                <w:szCs w:val="22"/>
                <w:highlight w:val="none"/>
                <w:lang w:val="en-US" w:eastAsia="zh-CN"/>
              </w:rPr>
              <w:t>理工学院</w:t>
            </w:r>
            <w:r>
              <w:rPr>
                <w:rFonts w:hint="eastAsia" w:ascii="宋体" w:hAnsi="宋体" w:eastAsia="宋体" w:cs="宋体"/>
                <w:color w:val="auto"/>
                <w:kern w:val="0"/>
                <w:sz w:val="22"/>
                <w:szCs w:val="22"/>
                <w:highlight w:val="none"/>
              </w:rPr>
              <w:t>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服务标准</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spacing w:after="0"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1.质保期内因不能排除的故障而影响工作的情况每发生一次，其质保期相应延长60天，质保期内因系统本身缺陷造成各种故障应由供应商免费予以技术服务和维护，否则将扣除履约保证金作为对采购人的补偿。</w:t>
            </w:r>
          </w:p>
          <w:p>
            <w:pPr>
              <w:spacing w:after="0" w:line="36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2.项目验收合格之日起，质保期内所有产品及其附属品提供质保服务。质保期内提供免费服务和软件版本的维护、升级等服务（包括远程技术服务和现场技术服务）。如出现系统漏洞的，需免费修复直到恢复正常软件功能及服务为止。质保期满后，维保服务内容及服务费由双方另行协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服务效率</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spacing w:after="0" w:line="36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供应商提供24小时售后服务，合同出现故障后，供应商接到采购人通知应在不超过1小时内做出响应，若电话无法解决的，于24小时内到达现场实施维修，提供不间断的服务直到修复为止。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pacing w:val="-6"/>
                <w:sz w:val="22"/>
                <w:szCs w:val="22"/>
                <w:highlight w:val="none"/>
              </w:rPr>
              <w:t>验收标准</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spacing w:after="0"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1.验收参照《温州市政府采购履约验收办法》实施。</w:t>
            </w:r>
          </w:p>
          <w:p>
            <w:pPr>
              <w:spacing w:after="0"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应于响应文件中提供产品的验收标准和检测办法，并在验收中提供采购人认可的相应检测手段，验收标准应符合中国有关的国家、地方、行业的标准，如若中标，经采购人确认后作为验收的依据。验收中发现产品达不到验收标准或合同规定的性能指标，成交供应商必须更换，并负担由此给采购人造成的损失，直到验收合格为止。</w:t>
            </w:r>
          </w:p>
          <w:p>
            <w:pPr>
              <w:spacing w:after="0" w:line="36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3.如验收产生费用由成交供应商承担。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其他</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1.培训：</w:t>
            </w:r>
          </w:p>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 供应商应对采购人的操作人员、维修人员免费进行培训。</w:t>
            </w:r>
          </w:p>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 供应商应提供相应的培训计划。</w:t>
            </w:r>
          </w:p>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 供应商应对上述内容的实现方式、地点、人数、时间在响应文件中详细说明。</w:t>
            </w:r>
          </w:p>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2.技术支持：</w:t>
            </w:r>
          </w:p>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成交供应商应及时免费提供合同产品软件的升级，免费提供合同产品新功能和应用的资料。</w:t>
            </w:r>
          </w:p>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3.安装调试（若需要安装调试）：</w:t>
            </w:r>
          </w:p>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 安装地点：采购人指定地点。</w:t>
            </w:r>
          </w:p>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 安装完成时间：接到采购人通知后在7日内完成安装和调试，如在规定的时间内由于成交供应商的原因不能完成安装和调试，成交供应商应承担由此给采购人造成的损失。</w:t>
            </w:r>
          </w:p>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 安装标准：符合我国国家有关技术规范要求和技术标准，所有的软件和硬件必须保证同时安装到位。</w:t>
            </w:r>
          </w:p>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 成交供应商免费提供合同产品的安装服务。</w:t>
            </w:r>
          </w:p>
          <w:p>
            <w:pPr>
              <w:spacing w:line="360" w:lineRule="exac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3.5 成交供应商在响应文件中应提供安装调试计划、对安装场地和环境的要求。</w:t>
            </w:r>
          </w:p>
        </w:tc>
      </w:tr>
    </w:tbl>
    <w:p>
      <w:pPr>
        <w:numPr>
          <w:ilvl w:val="0"/>
          <w:numId w:val="2"/>
        </w:numPr>
        <w:snapToGrid w:val="0"/>
        <w:spacing w:line="360" w:lineRule="exac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技术要求</w:t>
      </w:r>
    </w:p>
    <w:p>
      <w:pPr>
        <w:pStyle w:val="3"/>
        <w:pageBreakBefore w:val="0"/>
        <w:numPr>
          <w:ilvl w:val="0"/>
          <w:numId w:val="3"/>
        </w:numPr>
        <w:kinsoku/>
        <w:wordWrap/>
        <w:overflowPunct/>
        <w:topLinePunct w:val="0"/>
        <w:bidi w:val="0"/>
        <w:snapToGrid/>
        <w:spacing w:before="0" w:after="0" w:line="360" w:lineRule="exact"/>
        <w:ind w:lef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考场专用高清巡查红外网络半球</w:t>
      </w:r>
      <w:r>
        <w:rPr>
          <w:rFonts w:hint="eastAsia" w:ascii="宋体" w:hAnsi="宋体" w:eastAsia="宋体" w:cs="宋体"/>
          <w:color w:val="auto"/>
          <w:sz w:val="22"/>
          <w:szCs w:val="22"/>
          <w:highlight w:val="none"/>
          <w:lang w:val="en-US" w:eastAsia="zh-CN"/>
        </w:rPr>
        <w:t xml:space="preserve"> 29台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核心产品</w:t>
      </w:r>
      <w:r>
        <w:rPr>
          <w:rFonts w:hint="eastAsia" w:ascii="宋体" w:hAnsi="宋体" w:eastAsia="宋体" w:cs="宋体"/>
          <w:color w:val="auto"/>
          <w:sz w:val="22"/>
          <w:szCs w:val="22"/>
          <w:highlight w:val="none"/>
          <w:lang w:eastAsia="zh-CN"/>
        </w:rPr>
        <w:t>）</w:t>
      </w:r>
    </w:p>
    <w:p>
      <w:pPr>
        <w:pageBreakBefore w:val="0"/>
        <w:numPr>
          <w:ilvl w:val="0"/>
          <w:numId w:val="4"/>
        </w:numPr>
        <w:kinsoku/>
        <w:wordWrap/>
        <w:overflowPunct/>
        <w:topLinePunct w:val="0"/>
        <w:bidi w:val="0"/>
        <w:snapToGrid/>
        <w:spacing w:line="360" w:lineRule="exact"/>
        <w:ind w:left="0" w:firstLine="418" w:firstLineChars="200"/>
        <w:rPr>
          <w:rFonts w:hint="eastAsia" w:ascii="宋体" w:hAnsi="宋体" w:eastAsia="宋体" w:cs="宋体"/>
          <w:bCs/>
          <w:color w:val="auto"/>
          <w:sz w:val="22"/>
          <w:szCs w:val="22"/>
          <w:highlight w:val="none"/>
        </w:rPr>
      </w:pPr>
      <w:r>
        <w:rPr>
          <w:rFonts w:hint="eastAsia" w:ascii="宋体" w:hAnsi="宋体" w:eastAsia="宋体" w:cs="宋体"/>
          <w:b/>
          <w:color w:val="auto"/>
          <w:spacing w:val="-6"/>
          <w:sz w:val="22"/>
          <w:szCs w:val="22"/>
          <w:highlight w:val="none"/>
          <w:u w:val="single"/>
          <w:lang w:eastAsia="zh-CN"/>
        </w:rPr>
        <w:t>★</w:t>
      </w:r>
      <w:r>
        <w:rPr>
          <w:rFonts w:hint="eastAsia" w:ascii="宋体" w:hAnsi="宋体" w:eastAsia="宋体" w:cs="宋体"/>
          <w:bCs/>
          <w:color w:val="auto"/>
          <w:sz w:val="22"/>
          <w:szCs w:val="22"/>
          <w:highlight w:val="none"/>
          <w:u w:val="single"/>
        </w:rPr>
        <w:t>符合《国家教育考试网上巡查系统视频标准技术规范（2017版）》（JY/T-KS-JS-2017-1）规范；符合《公共安全视频监控联网信息安全技术要求》GB35114-2017标准</w:t>
      </w:r>
      <w:r>
        <w:rPr>
          <w:rFonts w:hint="eastAsia" w:ascii="宋体" w:hAnsi="宋体" w:eastAsia="宋体" w:cs="宋体"/>
          <w:bCs/>
          <w:color w:val="auto"/>
          <w:sz w:val="22"/>
          <w:szCs w:val="22"/>
          <w:highlight w:val="none"/>
        </w:rPr>
        <w:t>；</w:t>
      </w:r>
    </w:p>
    <w:p>
      <w:pPr>
        <w:pageBreakBefore w:val="0"/>
        <w:numPr>
          <w:ilvl w:val="0"/>
          <w:numId w:val="4"/>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嵌入式设备，具备实时操作系统；</w:t>
      </w:r>
    </w:p>
    <w:p>
      <w:pPr>
        <w:pageBreakBefore w:val="0"/>
        <w:numPr>
          <w:ilvl w:val="0"/>
          <w:numId w:val="4"/>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采用超低照度200万(1920×1080) 像素，1/2.7英寸CMOS图像传感器；</w:t>
      </w:r>
    </w:p>
    <w:p>
      <w:pPr>
        <w:pageBreakBefore w:val="0"/>
        <w:numPr>
          <w:ilvl w:val="0"/>
          <w:numId w:val="4"/>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采用H.265/264High profile\MPG4 编码；</w:t>
      </w:r>
    </w:p>
    <w:p>
      <w:pPr>
        <w:pageBreakBefore w:val="0"/>
        <w:numPr>
          <w:ilvl w:val="0"/>
          <w:numId w:val="4"/>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支持三码流，ACF（活动帧率控制）；</w:t>
      </w:r>
    </w:p>
    <w:p>
      <w:pPr>
        <w:pageBreakBefore w:val="0"/>
        <w:numPr>
          <w:ilvl w:val="0"/>
          <w:numId w:val="4"/>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最大支持256GB SD卡，支持录像断网续传功能；</w:t>
      </w:r>
    </w:p>
    <w:p>
      <w:pPr>
        <w:pageBreakBefore w:val="0"/>
        <w:numPr>
          <w:ilvl w:val="0"/>
          <w:numId w:val="4"/>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支持设备认证功能、加密传输能力及数字水印加密，防数据被篡改；</w:t>
      </w:r>
    </w:p>
    <w:p>
      <w:pPr>
        <w:pageBreakBefore w:val="0"/>
        <w:numPr>
          <w:ilvl w:val="0"/>
          <w:numId w:val="4"/>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支持宽动态、3D 降噪、强光抑制、走廊模式、去雾；</w:t>
      </w:r>
    </w:p>
    <w:p>
      <w:pPr>
        <w:pageBreakBefore w:val="0"/>
        <w:numPr>
          <w:ilvl w:val="0"/>
          <w:numId w:val="4"/>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最大红外距离</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≥100m；</w:t>
      </w:r>
    </w:p>
    <w:p>
      <w:pPr>
        <w:pageBreakBefore w:val="0"/>
        <w:numPr>
          <w:ilvl w:val="0"/>
          <w:numId w:val="4"/>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支持智能红外功能：当开启红外灯光功能后，能根据所射目标距离自动调节红外辐射功率；</w:t>
      </w:r>
    </w:p>
    <w:p>
      <w:pPr>
        <w:pageBreakBefore w:val="0"/>
        <w:numPr>
          <w:ilvl w:val="0"/>
          <w:numId w:val="4"/>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支持28个视频窗口进行预览；</w:t>
      </w:r>
    </w:p>
    <w:p>
      <w:pPr>
        <w:pageBreakBefore w:val="0"/>
        <w:numPr>
          <w:ilvl w:val="0"/>
          <w:numId w:val="4"/>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支持区域入侵，拌线入侵，物品遗留/消失，虚焦侦测，场景变更的侦测，并且可以与报警联动；</w:t>
      </w:r>
    </w:p>
    <w:p>
      <w:pPr>
        <w:pageBreakBefore w:val="0"/>
        <w:numPr>
          <w:ilvl w:val="0"/>
          <w:numId w:val="4"/>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支持无SD卡、SD卡空间不足、SD卡出错、网络断开、IP冲突、移动检测、视频遮挡智能报警；</w:t>
      </w:r>
    </w:p>
    <w:p>
      <w:pPr>
        <w:pageBreakBefore w:val="0"/>
        <w:numPr>
          <w:ilvl w:val="0"/>
          <w:numId w:val="4"/>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最低照度：彩色≤0.001LX，黑白≤0.0001Lx</w:t>
      </w:r>
      <w:r>
        <w:rPr>
          <w:rFonts w:hint="eastAsia" w:ascii="宋体" w:hAnsi="宋体" w:eastAsia="宋体" w:cs="宋体"/>
          <w:bCs/>
          <w:color w:val="auto"/>
          <w:sz w:val="22"/>
          <w:szCs w:val="22"/>
          <w:highlight w:val="none"/>
          <w:lang w:eastAsia="zh-CN"/>
        </w:rPr>
        <w:t>；</w:t>
      </w:r>
    </w:p>
    <w:p>
      <w:pPr>
        <w:pageBreakBefore w:val="0"/>
        <w:numPr>
          <w:ilvl w:val="0"/>
          <w:numId w:val="4"/>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支持可伸缩视频编码（SVC）技术，支持感兴趣区域（ROI）</w:t>
      </w:r>
      <w:r>
        <w:rPr>
          <w:rFonts w:hint="eastAsia" w:ascii="宋体" w:hAnsi="宋体" w:eastAsia="宋体" w:cs="宋体"/>
          <w:bCs/>
          <w:color w:val="auto"/>
          <w:sz w:val="22"/>
          <w:szCs w:val="22"/>
          <w:highlight w:val="none"/>
          <w:lang w:eastAsia="zh-CN"/>
        </w:rPr>
        <w:t>；</w:t>
      </w:r>
    </w:p>
    <w:p>
      <w:pPr>
        <w:pageBreakBefore w:val="0"/>
        <w:numPr>
          <w:ilvl w:val="0"/>
          <w:numId w:val="4"/>
        </w:numPr>
        <w:kinsoku/>
        <w:wordWrap/>
        <w:overflowPunct/>
        <w:topLinePunct w:val="0"/>
        <w:bidi w:val="0"/>
        <w:snapToGrid/>
        <w:spacing w:line="360" w:lineRule="exact"/>
        <w:ind w:left="0"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sz w:val="22"/>
          <w:szCs w:val="22"/>
          <w:highlight w:val="none"/>
        </w:rPr>
        <w:t>防护等级：IP67，IK10</w:t>
      </w:r>
      <w:r>
        <w:rPr>
          <w:rFonts w:hint="eastAsia" w:ascii="宋体" w:hAnsi="宋体" w:eastAsia="宋体" w:cs="宋体"/>
          <w:bCs/>
          <w:color w:val="auto"/>
          <w:sz w:val="22"/>
          <w:szCs w:val="22"/>
          <w:highlight w:val="none"/>
          <w:lang w:eastAsia="zh-CN"/>
        </w:rPr>
        <w:t>；</w:t>
      </w:r>
    </w:p>
    <w:p>
      <w:pPr>
        <w:pageBreakBefore w:val="0"/>
        <w:numPr>
          <w:ilvl w:val="0"/>
          <w:numId w:val="4"/>
        </w:numPr>
        <w:kinsoku/>
        <w:wordWrap/>
        <w:overflowPunct/>
        <w:topLinePunct w:val="0"/>
        <w:bidi w:val="0"/>
        <w:snapToGrid/>
        <w:spacing w:line="360" w:lineRule="exact"/>
        <w:ind w:left="0"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sz w:val="22"/>
          <w:szCs w:val="22"/>
          <w:highlight w:val="none"/>
          <w:u w:val="single"/>
          <w:lang w:eastAsia="zh-CN"/>
        </w:rPr>
        <w:t>▲</w:t>
      </w:r>
      <w:r>
        <w:rPr>
          <w:rFonts w:hint="eastAsia" w:ascii="宋体" w:hAnsi="宋体" w:eastAsia="宋体" w:cs="宋体"/>
          <w:bCs/>
          <w:color w:val="auto"/>
          <w:sz w:val="22"/>
          <w:szCs w:val="22"/>
          <w:highlight w:val="none"/>
          <w:u w:val="single"/>
          <w:lang w:val="en-US" w:eastAsia="zh-CN"/>
        </w:rPr>
        <w:t>所有巡考摄像机需注册入浙江省考试院省市平台及校级平台。</w:t>
      </w:r>
    </w:p>
    <w:p>
      <w:pPr>
        <w:pStyle w:val="3"/>
        <w:pageBreakBefore w:val="0"/>
        <w:numPr>
          <w:ilvl w:val="0"/>
          <w:numId w:val="3"/>
        </w:numPr>
        <w:kinsoku/>
        <w:wordWrap/>
        <w:overflowPunct/>
        <w:topLinePunct w:val="0"/>
        <w:bidi w:val="0"/>
        <w:snapToGrid/>
        <w:spacing w:before="0" w:after="0" w:line="360" w:lineRule="exact"/>
        <w:ind w:lef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考场专用高保真拾音器</w:t>
      </w:r>
      <w:r>
        <w:rPr>
          <w:rFonts w:hint="eastAsia" w:ascii="宋体" w:hAnsi="宋体" w:eastAsia="宋体" w:cs="宋体"/>
          <w:color w:val="auto"/>
          <w:sz w:val="22"/>
          <w:szCs w:val="22"/>
          <w:highlight w:val="none"/>
          <w:lang w:val="en-US" w:eastAsia="zh-CN"/>
        </w:rPr>
        <w:t xml:space="preserve"> 29只</w:t>
      </w:r>
    </w:p>
    <w:p>
      <w:pPr>
        <w:pageBreakBefore w:val="0"/>
        <w:numPr>
          <w:ilvl w:val="0"/>
          <w:numId w:val="5"/>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采用高灵敏度全指向性防水防尘咪头，全向拾音、声音清晰自然；</w:t>
      </w:r>
    </w:p>
    <w:p>
      <w:pPr>
        <w:pageBreakBefore w:val="0"/>
        <w:numPr>
          <w:ilvl w:val="0"/>
          <w:numId w:val="5"/>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Ambient noise cancellation（ANC）环境噪声消除技术；</w:t>
      </w:r>
    </w:p>
    <w:p>
      <w:pPr>
        <w:pageBreakBefore w:val="0"/>
        <w:numPr>
          <w:ilvl w:val="0"/>
          <w:numId w:val="5"/>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内置高速信号处理器，有效防止语音信号失真及衰减；</w:t>
      </w:r>
    </w:p>
    <w:p>
      <w:pPr>
        <w:pageBreakBefore w:val="0"/>
        <w:numPr>
          <w:ilvl w:val="0"/>
          <w:numId w:val="5"/>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内置雷击保护、电源极性反接保护和静电保护。</w:t>
      </w:r>
    </w:p>
    <w:p>
      <w:pPr>
        <w:pStyle w:val="3"/>
        <w:pageBreakBefore w:val="0"/>
        <w:numPr>
          <w:ilvl w:val="0"/>
          <w:numId w:val="3"/>
        </w:numPr>
        <w:kinsoku/>
        <w:wordWrap/>
        <w:overflowPunct/>
        <w:topLinePunct w:val="0"/>
        <w:bidi w:val="0"/>
        <w:snapToGrid/>
        <w:spacing w:before="0" w:after="0" w:line="360" w:lineRule="exact"/>
        <w:ind w:lef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接入交换机</w:t>
      </w:r>
      <w:r>
        <w:rPr>
          <w:rFonts w:hint="eastAsia" w:ascii="宋体" w:hAnsi="宋体" w:eastAsia="宋体" w:cs="宋体"/>
          <w:color w:val="auto"/>
          <w:sz w:val="22"/>
          <w:szCs w:val="22"/>
          <w:highlight w:val="none"/>
          <w:lang w:val="en-US" w:eastAsia="zh-CN"/>
        </w:rPr>
        <w:t xml:space="preserve"> 3台</w:t>
      </w:r>
    </w:p>
    <w:p>
      <w:pPr>
        <w:pageBreakBefore w:val="0"/>
        <w:numPr>
          <w:ilvl w:val="0"/>
          <w:numId w:val="6"/>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主要参数：</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产品类型：POE</w:t>
      </w:r>
      <w:r>
        <w:rPr>
          <w:rFonts w:hint="eastAsia" w:ascii="宋体" w:hAnsi="宋体" w:eastAsia="宋体" w:cs="宋体"/>
          <w:bCs/>
          <w:color w:val="auto"/>
          <w:sz w:val="22"/>
          <w:szCs w:val="22"/>
          <w:highlight w:val="none"/>
        </w:rPr>
        <w:fldChar w:fldCharType="begin"/>
      </w:r>
      <w:r>
        <w:rPr>
          <w:rFonts w:hint="eastAsia" w:ascii="宋体" w:hAnsi="宋体" w:eastAsia="宋体" w:cs="宋体"/>
          <w:bCs/>
          <w:color w:val="auto"/>
          <w:sz w:val="22"/>
          <w:szCs w:val="22"/>
          <w:highlight w:val="none"/>
        </w:rPr>
        <w:instrText xml:space="preserve"> HYPERLINK "https://detail.zol.com.cn/switches/s6078/" </w:instrText>
      </w:r>
      <w:r>
        <w:rPr>
          <w:rFonts w:hint="eastAsia" w:ascii="宋体" w:hAnsi="宋体" w:eastAsia="宋体" w:cs="宋体"/>
          <w:bCs/>
          <w:color w:val="auto"/>
          <w:sz w:val="22"/>
          <w:szCs w:val="22"/>
          <w:highlight w:val="none"/>
        </w:rPr>
        <w:fldChar w:fldCharType="separate"/>
      </w:r>
      <w:r>
        <w:rPr>
          <w:rFonts w:hint="eastAsia" w:ascii="宋体" w:hAnsi="宋体" w:eastAsia="宋体" w:cs="宋体"/>
          <w:bCs/>
          <w:color w:val="auto"/>
          <w:sz w:val="22"/>
          <w:szCs w:val="22"/>
          <w:highlight w:val="none"/>
        </w:rPr>
        <w:t>企业级交换机</w:t>
      </w:r>
      <w:r>
        <w:rPr>
          <w:rFonts w:hint="eastAsia" w:ascii="宋体" w:hAnsi="宋体" w:eastAsia="宋体" w:cs="宋体"/>
          <w:bCs/>
          <w:color w:val="auto"/>
          <w:sz w:val="22"/>
          <w:szCs w:val="22"/>
          <w:highlight w:val="none"/>
        </w:rPr>
        <w:fldChar w:fldCharType="end"/>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传输速率：</w:t>
      </w:r>
      <w:r>
        <w:rPr>
          <w:rFonts w:hint="eastAsia" w:ascii="宋体" w:hAnsi="宋体" w:eastAsia="宋体" w:cs="宋体"/>
          <w:bCs/>
          <w:color w:val="auto"/>
          <w:sz w:val="22"/>
          <w:szCs w:val="22"/>
          <w:highlight w:val="none"/>
        </w:rPr>
        <w:fldChar w:fldCharType="begin"/>
      </w:r>
      <w:r>
        <w:rPr>
          <w:rFonts w:hint="eastAsia" w:ascii="宋体" w:hAnsi="宋体" w:eastAsia="宋体" w:cs="宋体"/>
          <w:bCs/>
          <w:color w:val="auto"/>
          <w:sz w:val="22"/>
          <w:szCs w:val="22"/>
          <w:highlight w:val="none"/>
        </w:rPr>
        <w:instrText xml:space="preserve"> HYPERLINK "https://detail.zol.com.cn/switches/s7759/" </w:instrText>
      </w:r>
      <w:r>
        <w:rPr>
          <w:rFonts w:hint="eastAsia" w:ascii="宋体" w:hAnsi="宋体" w:eastAsia="宋体" w:cs="宋体"/>
          <w:bCs/>
          <w:color w:val="auto"/>
          <w:sz w:val="22"/>
          <w:szCs w:val="22"/>
          <w:highlight w:val="none"/>
        </w:rPr>
        <w:fldChar w:fldCharType="separate"/>
      </w:r>
      <w:r>
        <w:rPr>
          <w:rFonts w:hint="eastAsia" w:ascii="宋体" w:hAnsi="宋体" w:eastAsia="宋体" w:cs="宋体"/>
          <w:bCs/>
          <w:color w:val="auto"/>
          <w:sz w:val="22"/>
          <w:szCs w:val="22"/>
          <w:highlight w:val="none"/>
        </w:rPr>
        <w:t>10/100/1000Mbps</w:t>
      </w:r>
      <w:r>
        <w:rPr>
          <w:rFonts w:hint="eastAsia" w:ascii="宋体" w:hAnsi="宋体" w:eastAsia="宋体" w:cs="宋体"/>
          <w:bCs/>
          <w:color w:val="auto"/>
          <w:sz w:val="22"/>
          <w:szCs w:val="22"/>
          <w:highlight w:val="none"/>
        </w:rPr>
        <w:fldChar w:fldCharType="end"/>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交换方式：存储-转发</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包转发率：41.66Mpps</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端口数量</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fldChar w:fldCharType="begin"/>
      </w:r>
      <w:r>
        <w:rPr>
          <w:rFonts w:hint="eastAsia" w:ascii="宋体" w:hAnsi="宋体" w:eastAsia="宋体" w:cs="宋体"/>
          <w:bCs/>
          <w:color w:val="auto"/>
          <w:sz w:val="22"/>
          <w:szCs w:val="22"/>
          <w:highlight w:val="none"/>
        </w:rPr>
        <w:instrText xml:space="preserve"> HYPERLINK "https://detail.zol.com.cn/switches/p23425/" </w:instrText>
      </w:r>
      <w:r>
        <w:rPr>
          <w:rFonts w:hint="eastAsia" w:ascii="宋体" w:hAnsi="宋体" w:eastAsia="宋体" w:cs="宋体"/>
          <w:bCs/>
          <w:color w:val="auto"/>
          <w:sz w:val="22"/>
          <w:szCs w:val="22"/>
          <w:highlight w:val="none"/>
        </w:rPr>
        <w:fldChar w:fldCharType="separate"/>
      </w:r>
      <w:r>
        <w:rPr>
          <w:rFonts w:hint="eastAsia" w:ascii="宋体" w:hAnsi="宋体" w:eastAsia="宋体" w:cs="宋体"/>
          <w:bCs/>
          <w:color w:val="auto"/>
          <w:sz w:val="22"/>
          <w:szCs w:val="22"/>
          <w:highlight w:val="none"/>
        </w:rPr>
        <w:t>24个</w:t>
      </w:r>
      <w:r>
        <w:rPr>
          <w:rFonts w:hint="eastAsia" w:ascii="宋体" w:hAnsi="宋体" w:eastAsia="宋体" w:cs="宋体"/>
          <w:bCs/>
          <w:color w:val="auto"/>
          <w:sz w:val="22"/>
          <w:szCs w:val="22"/>
          <w:highlight w:val="none"/>
        </w:rPr>
        <w:fldChar w:fldCharType="end"/>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端口描述</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24个10/100/1000Base-T以太网端口，4个千兆SFP</w:t>
      </w:r>
    </w:p>
    <w:p>
      <w:pPr>
        <w:pageBreakBefore w:val="0"/>
        <w:numPr>
          <w:ilvl w:val="0"/>
          <w:numId w:val="6"/>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功能特性</w:t>
      </w:r>
      <w:r>
        <w:rPr>
          <w:rFonts w:hint="eastAsia" w:ascii="宋体" w:hAnsi="宋体" w:eastAsia="宋体" w:cs="宋体"/>
          <w:bCs/>
          <w:color w:val="auto"/>
          <w:sz w:val="22"/>
          <w:szCs w:val="22"/>
          <w:highlight w:val="none"/>
          <w:lang w:eastAsia="zh-CN"/>
        </w:rPr>
        <w:t>：</w:t>
      </w:r>
    </w:p>
    <w:p>
      <w:pPr>
        <w:pageBreakBefore w:val="0"/>
        <w:numPr>
          <w:ilvl w:val="0"/>
          <w:numId w:val="7"/>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VLAN</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支持4K个VLAN</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支持Access/Trunk/Hybrid/QinQ接入方式</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支持基于端口划分VLAN</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支持MAC地址自动学习</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支持MAC地址自动老化</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支持静态MAC表项</w:t>
      </w:r>
    </w:p>
    <w:p>
      <w:pPr>
        <w:pageBreakBefore w:val="0"/>
        <w:numPr>
          <w:ilvl w:val="0"/>
          <w:numId w:val="7"/>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QOS</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支持流量监管</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支持入端口流量限速</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支持端口队列调度</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支持拥塞避免</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支持出端口流量整形</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支持高级IPv4/v6 ACL</w:t>
      </w:r>
    </w:p>
    <w:p>
      <w:pPr>
        <w:pageBreakBefore w:val="0"/>
        <w:numPr>
          <w:ilvl w:val="0"/>
          <w:numId w:val="7"/>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组播管理</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支持IGMP v1/v2/v3 Snooping</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支持MLD v1/v2/v3 Snooping</w:t>
      </w:r>
    </w:p>
    <w:p>
      <w:pPr>
        <w:pageBreakBefore w:val="0"/>
        <w:numPr>
          <w:ilvl w:val="0"/>
          <w:numId w:val="7"/>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安全管理</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支持端口安全</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支持广播，组播，未知单播风暴控制</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支持端口隔离</w:t>
      </w:r>
    </w:p>
    <w:p>
      <w:pPr>
        <w:pageBreakBefore w:val="0"/>
        <w:numPr>
          <w:ilvl w:val="0"/>
          <w:numId w:val="6"/>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其它参数</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额定电压范围：100-240V AC，50/60Hz</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最大电压范围：90-264V AC，45/65Hz纠错</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无受电设备：53W</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带受电设备：451W</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环境标准</w:t>
      </w:r>
      <w:r>
        <w:rPr>
          <w:rFonts w:hint="eastAsia" w:ascii="宋体" w:hAnsi="宋体" w:eastAsia="宋体" w:cs="宋体"/>
          <w:bCs/>
          <w:color w:val="auto"/>
          <w:sz w:val="22"/>
          <w:szCs w:val="22"/>
          <w:highlight w:val="none"/>
          <w:lang w:eastAsia="zh-CN"/>
        </w:rPr>
        <w:t>：</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工作温度：-5-55℃</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存储温度：-40-70℃</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相对湿度：5%-95%无凝结</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电源类型：4600W AC电源</w:t>
      </w:r>
    </w:p>
    <w:p>
      <w:pPr>
        <w:pageBreakBefore w:val="0"/>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散热方式：自然散热，智能调速，2个风扇</w:t>
      </w:r>
    </w:p>
    <w:p>
      <w:pPr>
        <w:pStyle w:val="3"/>
        <w:pageBreakBefore w:val="0"/>
        <w:numPr>
          <w:ilvl w:val="0"/>
          <w:numId w:val="3"/>
        </w:numPr>
        <w:kinsoku/>
        <w:wordWrap/>
        <w:overflowPunct/>
        <w:topLinePunct w:val="0"/>
        <w:bidi w:val="0"/>
        <w:snapToGrid/>
        <w:spacing w:before="0" w:after="0" w:line="360" w:lineRule="exact"/>
        <w:ind w:lef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防作弊屏蔽仪</w:t>
      </w:r>
      <w:r>
        <w:rPr>
          <w:rFonts w:hint="eastAsia" w:ascii="宋体" w:hAnsi="宋体" w:eastAsia="宋体" w:cs="宋体"/>
          <w:color w:val="auto"/>
          <w:sz w:val="22"/>
          <w:szCs w:val="22"/>
          <w:highlight w:val="none"/>
          <w:lang w:val="en-US" w:eastAsia="zh-CN"/>
        </w:rPr>
        <w:t xml:space="preserve"> 29台</w:t>
      </w:r>
    </w:p>
    <w:p>
      <w:pPr>
        <w:pStyle w:val="6"/>
        <w:pageBreakBefore w:val="0"/>
        <w:numPr>
          <w:ilvl w:val="0"/>
          <w:numId w:val="8"/>
        </w:numPr>
        <w:kinsoku/>
        <w:wordWrap/>
        <w:overflowPunct/>
        <w:topLinePunct w:val="0"/>
        <w:bidi w:val="0"/>
        <w:snapToGrid/>
        <w:spacing w:before="0" w:beforeAutospacing="0" w:after="0" w:afterAutospacing="0"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有效屏蔽GSM、CDMA、DCS、TD-SCDMA、WCDMA、4G/E、4G/D、5G手机信号和 2.4GWIFI 无线信号、蓝牙信号及其他利用无线传输的信号，不干扰其它电子教学设备工作，手机离开隔断范围，即可恢复正常使用，连续 24小时工作</w:t>
      </w:r>
      <w:r>
        <w:rPr>
          <w:rFonts w:hint="eastAsia" w:ascii="宋体" w:hAnsi="宋体" w:eastAsia="宋体" w:cs="宋体"/>
          <w:bCs/>
          <w:color w:val="auto"/>
          <w:sz w:val="22"/>
          <w:szCs w:val="22"/>
          <w:highlight w:val="none"/>
          <w:lang w:val="zh-CN"/>
        </w:rPr>
        <w:t>；</w:t>
      </w:r>
    </w:p>
    <w:p>
      <w:pPr>
        <w:pStyle w:val="6"/>
        <w:pageBreakBefore w:val="0"/>
        <w:numPr>
          <w:ilvl w:val="0"/>
          <w:numId w:val="8"/>
        </w:numPr>
        <w:kinsoku/>
        <w:wordWrap/>
        <w:overflowPunct/>
        <w:topLinePunct w:val="0"/>
        <w:bidi w:val="0"/>
        <w:snapToGrid/>
        <w:spacing w:before="0" w:beforeAutospacing="0" w:after="0" w:afterAutospacing="0" w:line="360" w:lineRule="exact"/>
        <w:ind w:left="0" w:firstLine="418" w:firstLineChars="200"/>
        <w:rPr>
          <w:rFonts w:hint="eastAsia" w:ascii="宋体" w:hAnsi="宋体" w:eastAsia="宋体" w:cs="宋体"/>
          <w:bCs/>
          <w:color w:val="auto"/>
          <w:sz w:val="22"/>
          <w:szCs w:val="22"/>
          <w:highlight w:val="none"/>
        </w:rPr>
      </w:pPr>
      <w:r>
        <w:rPr>
          <w:rFonts w:hint="eastAsia" w:ascii="宋体" w:hAnsi="宋体" w:eastAsia="宋体" w:cs="宋体"/>
          <w:b/>
          <w:color w:val="auto"/>
          <w:spacing w:val="-6"/>
          <w:sz w:val="22"/>
          <w:szCs w:val="22"/>
          <w:highlight w:val="none"/>
          <w:u w:val="single"/>
          <w:lang w:eastAsia="zh-CN"/>
        </w:rPr>
        <w:t>★</w:t>
      </w:r>
      <w:r>
        <w:rPr>
          <w:rFonts w:hint="eastAsia" w:ascii="宋体" w:hAnsi="宋体" w:eastAsia="宋体" w:cs="宋体"/>
          <w:bCs/>
          <w:color w:val="auto"/>
          <w:sz w:val="22"/>
          <w:szCs w:val="22"/>
          <w:highlight w:val="none"/>
          <w:u w:val="single"/>
        </w:rPr>
        <w:t>设备需带有双LED液晶显示自动检测系统，开机自动侦测系统信号，显示设备电压、电流、温度、信号正常与否；仪器面板有工作指示灯，不少于十二个频段，其中包括GSM、CDMA、DCS、TD-SCDMA、WCDMA、4G/E、4G/D、WIFI、5G等频段工作情况</w:t>
      </w:r>
      <w:r>
        <w:rPr>
          <w:rFonts w:hint="eastAsia" w:ascii="宋体" w:hAnsi="宋体" w:eastAsia="宋体" w:cs="宋体"/>
          <w:bCs/>
          <w:color w:val="auto"/>
          <w:sz w:val="22"/>
          <w:szCs w:val="22"/>
          <w:highlight w:val="none"/>
        </w:rPr>
        <w:t>；</w:t>
      </w:r>
    </w:p>
    <w:p>
      <w:pPr>
        <w:pStyle w:val="6"/>
        <w:pageBreakBefore w:val="0"/>
        <w:numPr>
          <w:ilvl w:val="0"/>
          <w:numId w:val="8"/>
        </w:numPr>
        <w:kinsoku/>
        <w:wordWrap/>
        <w:overflowPunct/>
        <w:topLinePunct w:val="0"/>
        <w:bidi w:val="0"/>
        <w:snapToGrid/>
        <w:spacing w:before="0" w:beforeAutospacing="0" w:after="0" w:afterAutospacing="0"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设备开机后完成屏蔽时间≤30 秒；</w:t>
      </w:r>
    </w:p>
    <w:p>
      <w:pPr>
        <w:pStyle w:val="6"/>
        <w:pageBreakBefore w:val="0"/>
        <w:numPr>
          <w:ilvl w:val="0"/>
          <w:numId w:val="8"/>
        </w:numPr>
        <w:kinsoku/>
        <w:wordWrap/>
        <w:overflowPunct/>
        <w:topLinePunct w:val="0"/>
        <w:bidi w:val="0"/>
        <w:snapToGrid/>
        <w:spacing w:before="0" w:beforeAutospacing="0" w:after="0" w:afterAutospacing="0"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为方便使用管理要求设备采用内置天线、电源，塑料外壳，有凹槽提手设计便于携带，也可以固定使用，有效屏蔽距离： 1～30 米（视使用场所信号强弱情况）；</w:t>
      </w:r>
    </w:p>
    <w:p>
      <w:pPr>
        <w:pStyle w:val="6"/>
        <w:pageBreakBefore w:val="0"/>
        <w:numPr>
          <w:ilvl w:val="0"/>
          <w:numId w:val="8"/>
        </w:numPr>
        <w:kinsoku/>
        <w:wordWrap/>
        <w:overflowPunct/>
        <w:topLinePunct w:val="0"/>
        <w:bidi w:val="0"/>
        <w:snapToGrid/>
        <w:spacing w:before="0" w:beforeAutospacing="0" w:after="0" w:afterAutospacing="0" w:line="360" w:lineRule="exact"/>
        <w:ind w:left="0"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 w:val="0"/>
          <w:bCs w:val="0"/>
          <w:color w:val="auto"/>
          <w:sz w:val="22"/>
          <w:szCs w:val="22"/>
          <w:highlight w:val="none"/>
          <w:u w:val="single"/>
          <w:shd w:val="clear" w:color="auto" w:fill="FFFFFF"/>
          <w:lang w:eastAsia="zh-CN"/>
        </w:rPr>
        <w:t>★</w:t>
      </w:r>
      <w:r>
        <w:rPr>
          <w:rFonts w:hint="eastAsia" w:ascii="宋体" w:hAnsi="宋体" w:eastAsia="宋体" w:cs="宋体"/>
          <w:b/>
          <w:bCs w:val="0"/>
          <w:color w:val="auto"/>
          <w:sz w:val="22"/>
          <w:szCs w:val="22"/>
          <w:highlight w:val="none"/>
          <w:u w:val="single"/>
        </w:rPr>
        <w:t>产品需符合GB 16796-2009标准</w:t>
      </w:r>
      <w:r>
        <w:rPr>
          <w:rFonts w:hint="eastAsia" w:ascii="宋体" w:hAnsi="宋体" w:eastAsia="宋体" w:cs="宋体"/>
          <w:b/>
          <w:bCs w:val="0"/>
          <w:color w:val="auto"/>
          <w:sz w:val="22"/>
          <w:szCs w:val="22"/>
          <w:highlight w:val="none"/>
          <w:u w:val="single"/>
          <w:lang w:eastAsia="zh-CN"/>
        </w:rPr>
        <w:t>（响应文件中</w:t>
      </w:r>
      <w:r>
        <w:rPr>
          <w:rFonts w:hint="eastAsia" w:ascii="宋体" w:hAnsi="宋体" w:eastAsia="宋体" w:cs="宋体"/>
          <w:b/>
          <w:bCs w:val="0"/>
          <w:color w:val="auto"/>
          <w:sz w:val="22"/>
          <w:szCs w:val="22"/>
          <w:highlight w:val="none"/>
          <w:u w:val="single"/>
        </w:rPr>
        <w:t>提供国家认可的相应资质的检测机构出具的合格检测报告加盖</w:t>
      </w:r>
      <w:r>
        <w:rPr>
          <w:rFonts w:hint="eastAsia" w:ascii="宋体" w:hAnsi="宋体" w:eastAsia="宋体" w:cs="宋体"/>
          <w:b/>
          <w:bCs w:val="0"/>
          <w:color w:val="auto"/>
          <w:sz w:val="22"/>
          <w:szCs w:val="22"/>
          <w:highlight w:val="none"/>
          <w:u w:val="single"/>
          <w:lang w:eastAsia="zh-CN"/>
        </w:rPr>
        <w:t>供应商</w:t>
      </w:r>
      <w:r>
        <w:rPr>
          <w:rFonts w:hint="eastAsia" w:ascii="宋体" w:hAnsi="宋体" w:eastAsia="宋体" w:cs="宋体"/>
          <w:b/>
          <w:bCs w:val="0"/>
          <w:color w:val="auto"/>
          <w:sz w:val="22"/>
          <w:szCs w:val="22"/>
          <w:highlight w:val="none"/>
          <w:u w:val="single"/>
        </w:rPr>
        <w:t>公章作为证明（检测报告需要在有效期内）</w:t>
      </w:r>
      <w:r>
        <w:rPr>
          <w:rFonts w:hint="eastAsia" w:ascii="宋体" w:hAnsi="宋体" w:eastAsia="宋体" w:cs="宋体"/>
          <w:b/>
          <w:bCs w:val="0"/>
          <w:color w:val="auto"/>
          <w:sz w:val="22"/>
          <w:szCs w:val="22"/>
          <w:highlight w:val="none"/>
          <w:u w:val="single"/>
          <w:lang w:eastAsia="zh-CN"/>
        </w:rPr>
        <w:t>，否则视为负偏离）</w:t>
      </w:r>
      <w:r>
        <w:rPr>
          <w:rFonts w:hint="eastAsia" w:ascii="宋体" w:hAnsi="宋体" w:eastAsia="宋体" w:cs="宋体"/>
          <w:bCs/>
          <w:color w:val="auto"/>
          <w:sz w:val="22"/>
          <w:szCs w:val="22"/>
          <w:highlight w:val="none"/>
          <w:u w:val="single"/>
        </w:rPr>
        <w:t>，检测项目至少包含发射频率、绝缘电阻、抗电强度、泄漏电流、静电放电抗扰度试验等内容；</w:t>
      </w:r>
    </w:p>
    <w:p>
      <w:pPr>
        <w:pStyle w:val="6"/>
        <w:pageBreakBefore w:val="0"/>
        <w:numPr>
          <w:ilvl w:val="0"/>
          <w:numId w:val="8"/>
        </w:numPr>
        <w:kinsoku/>
        <w:wordWrap/>
        <w:overflowPunct/>
        <w:topLinePunct w:val="0"/>
        <w:bidi w:val="0"/>
        <w:snapToGrid/>
        <w:spacing w:before="0" w:beforeAutospacing="0" w:after="0" w:afterAutospacing="0" w:line="360" w:lineRule="exact"/>
        <w:ind w:left="0"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 w:val="0"/>
          <w:bCs w:val="0"/>
          <w:color w:val="auto"/>
          <w:sz w:val="22"/>
          <w:szCs w:val="22"/>
          <w:highlight w:val="none"/>
          <w:u w:val="single"/>
          <w:shd w:val="clear" w:color="auto" w:fill="FFFFFF"/>
          <w:lang w:eastAsia="zh-CN"/>
        </w:rPr>
        <w:t>★</w:t>
      </w:r>
      <w:r>
        <w:rPr>
          <w:rFonts w:hint="eastAsia" w:ascii="宋体" w:hAnsi="宋体" w:eastAsia="宋体" w:cs="宋体"/>
          <w:bCs/>
          <w:color w:val="auto"/>
          <w:sz w:val="22"/>
          <w:szCs w:val="22"/>
          <w:highlight w:val="none"/>
          <w:u w:val="single"/>
        </w:rPr>
        <w:t>产品符合GBZ/T189.5-2007微波辐射限值；</w:t>
      </w:r>
    </w:p>
    <w:p>
      <w:pPr>
        <w:pStyle w:val="6"/>
        <w:pageBreakBefore w:val="0"/>
        <w:numPr>
          <w:ilvl w:val="0"/>
          <w:numId w:val="8"/>
        </w:numPr>
        <w:kinsoku/>
        <w:wordWrap/>
        <w:overflowPunct/>
        <w:topLinePunct w:val="0"/>
        <w:bidi w:val="0"/>
        <w:snapToGrid/>
        <w:spacing w:before="0" w:beforeAutospacing="0" w:after="0" w:afterAutospacing="0" w:line="360" w:lineRule="exact"/>
        <w:ind w:left="0" w:firstLine="440" w:firstLineChars="200"/>
        <w:rPr>
          <w:rFonts w:hint="eastAsia" w:ascii="宋体" w:hAnsi="宋体" w:eastAsia="宋体" w:cs="宋体"/>
          <w:bCs/>
          <w:color w:val="auto"/>
          <w:sz w:val="22"/>
          <w:szCs w:val="22"/>
          <w:highlight w:val="none"/>
          <w:u w:val="single"/>
        </w:rPr>
      </w:pPr>
      <w:r>
        <w:rPr>
          <w:rFonts w:hint="eastAsia" w:ascii="宋体" w:hAnsi="宋体" w:eastAsia="宋体" w:cs="宋体"/>
          <w:b w:val="0"/>
          <w:bCs w:val="0"/>
          <w:color w:val="auto"/>
          <w:sz w:val="22"/>
          <w:szCs w:val="22"/>
          <w:highlight w:val="none"/>
          <w:u w:val="single"/>
          <w:shd w:val="clear" w:color="auto" w:fill="FFFFFF"/>
          <w:lang w:eastAsia="zh-CN"/>
        </w:rPr>
        <w:t>★</w:t>
      </w:r>
      <w:r>
        <w:rPr>
          <w:rFonts w:hint="eastAsia" w:ascii="宋体" w:hAnsi="宋体" w:eastAsia="宋体" w:cs="宋体"/>
          <w:bCs/>
          <w:color w:val="auto"/>
          <w:sz w:val="22"/>
          <w:szCs w:val="22"/>
          <w:highlight w:val="none"/>
          <w:u w:val="single"/>
        </w:rPr>
        <w:t>产品符合GB/T4214.1-2000噪声限值；</w:t>
      </w:r>
    </w:p>
    <w:p>
      <w:pPr>
        <w:pStyle w:val="6"/>
        <w:pageBreakBefore w:val="0"/>
        <w:numPr>
          <w:ilvl w:val="0"/>
          <w:numId w:val="8"/>
        </w:numPr>
        <w:kinsoku/>
        <w:wordWrap/>
        <w:overflowPunct/>
        <w:topLinePunct w:val="0"/>
        <w:bidi w:val="0"/>
        <w:snapToGrid/>
        <w:spacing w:before="0" w:beforeAutospacing="0" w:after="0" w:afterAutospacing="0"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 w:val="0"/>
          <w:bCs w:val="0"/>
          <w:color w:val="auto"/>
          <w:sz w:val="22"/>
          <w:szCs w:val="22"/>
          <w:highlight w:val="none"/>
          <w:u w:val="single"/>
          <w:shd w:val="clear" w:color="auto" w:fill="FFFFFF"/>
          <w:lang w:eastAsia="zh-CN"/>
        </w:rPr>
        <w:t>★</w:t>
      </w:r>
      <w:r>
        <w:rPr>
          <w:rFonts w:hint="eastAsia" w:ascii="宋体" w:hAnsi="宋体" w:eastAsia="宋体" w:cs="宋体"/>
          <w:bCs/>
          <w:color w:val="auto"/>
          <w:sz w:val="22"/>
          <w:szCs w:val="22"/>
          <w:highlight w:val="none"/>
          <w:u w:val="single"/>
        </w:rPr>
        <w:t>产品有害物质符合GB/T 26572-2011《电子电气产品中限用物质的限量要求》</w:t>
      </w:r>
      <w:r>
        <w:rPr>
          <w:rFonts w:hint="eastAsia" w:ascii="宋体" w:hAnsi="宋体" w:eastAsia="宋体" w:cs="宋体"/>
          <w:bCs/>
          <w:color w:val="auto"/>
          <w:sz w:val="22"/>
          <w:szCs w:val="22"/>
          <w:highlight w:val="none"/>
          <w:lang w:eastAsia="zh-CN"/>
        </w:rPr>
        <w:t>。</w:t>
      </w:r>
    </w:p>
    <w:p>
      <w:pPr>
        <w:pStyle w:val="3"/>
        <w:pageBreakBefore w:val="0"/>
        <w:numPr>
          <w:ilvl w:val="0"/>
          <w:numId w:val="3"/>
        </w:numPr>
        <w:kinsoku/>
        <w:wordWrap/>
        <w:overflowPunct/>
        <w:topLinePunct w:val="0"/>
        <w:bidi w:val="0"/>
        <w:snapToGrid/>
        <w:spacing w:before="0" w:after="0" w:line="360" w:lineRule="exact"/>
        <w:ind w:lef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室内终端解码器（壁挂式）</w:t>
      </w:r>
      <w:r>
        <w:rPr>
          <w:rFonts w:hint="eastAsia" w:ascii="宋体" w:hAnsi="宋体" w:eastAsia="宋体" w:cs="宋体"/>
          <w:color w:val="auto"/>
          <w:sz w:val="22"/>
          <w:szCs w:val="22"/>
          <w:highlight w:val="none"/>
          <w:lang w:val="en-US" w:eastAsia="zh-CN"/>
        </w:rPr>
        <w:t>29台</w:t>
      </w:r>
    </w:p>
    <w:p>
      <w:pPr>
        <w:pageBreakBefore w:val="0"/>
        <w:numPr>
          <w:ilvl w:val="0"/>
          <w:numId w:val="9"/>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专业壁挂式设计，精致美观，安装方便。</w:t>
      </w:r>
    </w:p>
    <w:p>
      <w:pPr>
        <w:pageBreakBefore w:val="0"/>
        <w:numPr>
          <w:ilvl w:val="0"/>
          <w:numId w:val="9"/>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可选配信息推送功能，系统崩溃或网络瘫痪后，也可以自动执行任务，保证系统的平稳运行。</w:t>
      </w:r>
    </w:p>
    <w:p>
      <w:pPr>
        <w:pageBreakBefore w:val="0"/>
        <w:numPr>
          <w:ilvl w:val="0"/>
          <w:numId w:val="9"/>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预留蓝牙或2.4G天线接口，可以选配蓝牙接收模块BLR-101或2.4G接收模块GLR-102，实现本地语音讲话。</w:t>
      </w:r>
    </w:p>
    <w:p>
      <w:pPr>
        <w:pageBreakBefore w:val="0"/>
        <w:numPr>
          <w:ilvl w:val="0"/>
          <w:numId w:val="9"/>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带定压保障接口，可以选配定压保障模块，实现定压保障功能。</w:t>
      </w:r>
    </w:p>
    <w:p>
      <w:pPr>
        <w:pageBreakBefore w:val="0"/>
        <w:numPr>
          <w:ilvl w:val="0"/>
          <w:numId w:val="9"/>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带音频应急保障功能，和1 0 0 V定压保障功能一起组成网络信号的双重保障功能。</w:t>
      </w:r>
    </w:p>
    <w:p>
      <w:pPr>
        <w:pageBreakBefore w:val="0"/>
        <w:numPr>
          <w:ilvl w:val="0"/>
          <w:numId w:val="9"/>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带1路线路输入，1路话筒输入，和1路线路输出接口，话筒和线路具有独立的音量调节旋钮，话筒具有独立的高低音调节旋钮。</w:t>
      </w:r>
    </w:p>
    <w:p>
      <w:pPr>
        <w:pageBreakBefore w:val="0"/>
        <w:numPr>
          <w:ilvl w:val="0"/>
          <w:numId w:val="9"/>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 w:val="0"/>
          <w:bCs w:val="0"/>
          <w:color w:val="auto"/>
          <w:sz w:val="22"/>
          <w:szCs w:val="22"/>
          <w:highlight w:val="none"/>
          <w:u w:val="single"/>
          <w:shd w:val="clear" w:color="auto" w:fill="FFFFFF"/>
          <w:lang w:eastAsia="zh-CN"/>
        </w:rPr>
        <w:t>★</w:t>
      </w:r>
      <w:r>
        <w:rPr>
          <w:rFonts w:hint="eastAsia" w:ascii="宋体" w:hAnsi="宋体" w:eastAsia="宋体" w:cs="宋体"/>
          <w:bCs/>
          <w:color w:val="auto"/>
          <w:kern w:val="0"/>
          <w:sz w:val="22"/>
          <w:szCs w:val="22"/>
          <w:highlight w:val="none"/>
          <w:u w:val="single"/>
        </w:rPr>
        <w:t>带2路受控的24V输出接口，可以实现声光同步指示，可用于特殊教育学校</w:t>
      </w:r>
      <w:r>
        <w:rPr>
          <w:rFonts w:hint="eastAsia" w:ascii="宋体" w:hAnsi="宋体" w:eastAsia="宋体" w:cs="宋体"/>
          <w:bCs/>
          <w:color w:val="auto"/>
          <w:kern w:val="0"/>
          <w:sz w:val="22"/>
          <w:szCs w:val="22"/>
          <w:highlight w:val="none"/>
        </w:rPr>
        <w:t>。</w:t>
      </w:r>
    </w:p>
    <w:p>
      <w:pPr>
        <w:pageBreakBefore w:val="0"/>
        <w:numPr>
          <w:ilvl w:val="0"/>
          <w:numId w:val="9"/>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带1路USB接口，可用于U盘本地播音，也可以定制为PPT翻页功能。</w:t>
      </w:r>
    </w:p>
    <w:p>
      <w:pPr>
        <w:pageBreakBefore w:val="0"/>
        <w:numPr>
          <w:ilvl w:val="0"/>
          <w:numId w:val="9"/>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放额定功率：≥2*30W / 4Ω。</w:t>
      </w:r>
    </w:p>
    <w:p>
      <w:pPr>
        <w:pageBreakBefore w:val="0"/>
        <w:numPr>
          <w:ilvl w:val="0"/>
          <w:numId w:val="9"/>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总谐波失真THD：≤1 %</w:t>
      </w:r>
      <w:r>
        <w:rPr>
          <w:rFonts w:hint="eastAsia" w:ascii="宋体" w:hAnsi="宋体" w:eastAsia="宋体" w:cs="宋体"/>
          <w:bCs/>
          <w:color w:val="auto"/>
          <w:kern w:val="0"/>
          <w:sz w:val="22"/>
          <w:szCs w:val="22"/>
          <w:highlight w:val="none"/>
          <w:lang w:eastAsia="zh-CN"/>
        </w:rPr>
        <w:t>。</w:t>
      </w:r>
    </w:p>
    <w:p>
      <w:pPr>
        <w:pageBreakBefore w:val="0"/>
        <w:numPr>
          <w:ilvl w:val="0"/>
          <w:numId w:val="9"/>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网络接口：标准RJ45。</w:t>
      </w:r>
    </w:p>
    <w:p>
      <w:pPr>
        <w:pageBreakBefore w:val="0"/>
        <w:numPr>
          <w:ilvl w:val="0"/>
          <w:numId w:val="9"/>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网络传输速率：10/100Mbps自适应。</w:t>
      </w:r>
    </w:p>
    <w:p>
      <w:pPr>
        <w:pStyle w:val="2"/>
        <w:numPr>
          <w:ilvl w:val="0"/>
          <w:numId w:val="10"/>
        </w:numPr>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kern w:val="0"/>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所有解码器均需接入校级标准化语音广播平台。</w:t>
      </w:r>
    </w:p>
    <w:p>
      <w:pPr>
        <w:pStyle w:val="3"/>
        <w:pageBreakBefore w:val="0"/>
        <w:numPr>
          <w:ilvl w:val="0"/>
          <w:numId w:val="3"/>
        </w:numPr>
        <w:kinsoku/>
        <w:wordWrap/>
        <w:overflowPunct/>
        <w:topLinePunct w:val="0"/>
        <w:bidi w:val="0"/>
        <w:snapToGrid/>
        <w:spacing w:before="0" w:after="0" w:line="360" w:lineRule="exact"/>
        <w:ind w:lef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吸顶音箱</w:t>
      </w:r>
      <w:r>
        <w:rPr>
          <w:rFonts w:hint="eastAsia" w:ascii="宋体" w:hAnsi="宋体" w:eastAsia="宋体" w:cs="宋体"/>
          <w:color w:val="auto"/>
          <w:sz w:val="22"/>
          <w:szCs w:val="22"/>
          <w:highlight w:val="none"/>
          <w:lang w:val="en-US" w:eastAsia="zh-CN"/>
        </w:rPr>
        <w:t xml:space="preserve"> 58只</w:t>
      </w:r>
    </w:p>
    <w:p>
      <w:pPr>
        <w:pageBreakBefore w:val="0"/>
        <w:numPr>
          <w:ilvl w:val="0"/>
          <w:numId w:val="11"/>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6.5寸两分频同轴吸顶扬声器；</w:t>
      </w:r>
    </w:p>
    <w:p>
      <w:pPr>
        <w:pageBreakBefore w:val="0"/>
        <w:numPr>
          <w:ilvl w:val="0"/>
          <w:numId w:val="11"/>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额定功率：30W/8Ω；</w:t>
      </w:r>
    </w:p>
    <w:p>
      <w:pPr>
        <w:pageBreakBefore w:val="0"/>
        <w:numPr>
          <w:ilvl w:val="0"/>
          <w:numId w:val="11"/>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kern w:val="0"/>
          <w:sz w:val="22"/>
          <w:szCs w:val="22"/>
          <w:highlight w:val="none"/>
        </w:rPr>
        <w:t>频率响应：100Hz-20KHz</w:t>
      </w:r>
      <w:r>
        <w:rPr>
          <w:rFonts w:hint="eastAsia" w:ascii="宋体" w:hAnsi="宋体" w:eastAsia="宋体" w:cs="宋体"/>
          <w:bCs/>
          <w:color w:val="auto"/>
          <w:kern w:val="0"/>
          <w:sz w:val="22"/>
          <w:szCs w:val="22"/>
          <w:highlight w:val="none"/>
          <w:lang w:eastAsia="zh-CN"/>
        </w:rPr>
        <w:t>；</w:t>
      </w:r>
    </w:p>
    <w:p>
      <w:pPr>
        <w:pageBreakBefore w:val="0"/>
        <w:numPr>
          <w:ilvl w:val="0"/>
          <w:numId w:val="11"/>
        </w:numPr>
        <w:kinsoku/>
        <w:wordWrap/>
        <w:overflowPunct/>
        <w:topLinePunct w:val="0"/>
        <w:bidi w:val="0"/>
        <w:snapToGrid/>
        <w:spacing w:line="360" w:lineRule="exact"/>
        <w:ind w:left="0"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kern w:val="0"/>
          <w:sz w:val="22"/>
          <w:szCs w:val="22"/>
          <w:highlight w:val="none"/>
        </w:rPr>
        <w:t>吸顶开孔尺寸：φ206mm。</w:t>
      </w:r>
    </w:p>
    <w:p>
      <w:pPr>
        <w:pStyle w:val="3"/>
        <w:pageBreakBefore w:val="0"/>
        <w:numPr>
          <w:ilvl w:val="0"/>
          <w:numId w:val="3"/>
        </w:numPr>
        <w:kinsoku/>
        <w:wordWrap/>
        <w:overflowPunct/>
        <w:topLinePunct w:val="0"/>
        <w:bidi w:val="0"/>
        <w:snapToGrid/>
        <w:spacing w:before="0" w:after="0" w:line="360" w:lineRule="exact"/>
        <w:ind w:lef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网络解码功放</w:t>
      </w:r>
      <w:r>
        <w:rPr>
          <w:rFonts w:hint="eastAsia" w:ascii="宋体" w:hAnsi="宋体" w:eastAsia="宋体" w:cs="宋体"/>
          <w:color w:val="auto"/>
          <w:sz w:val="22"/>
          <w:szCs w:val="22"/>
          <w:highlight w:val="none"/>
          <w:lang w:val="en-US" w:eastAsia="zh-CN"/>
        </w:rPr>
        <w:t xml:space="preserve"> 6台</w:t>
      </w:r>
    </w:p>
    <w:p>
      <w:pPr>
        <w:pageBreakBefore w:val="0"/>
        <w:numPr>
          <w:ilvl w:val="0"/>
          <w:numId w:val="12"/>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标准1U高度机柜式设计；</w:t>
      </w:r>
    </w:p>
    <w:p>
      <w:pPr>
        <w:pageBreakBefore w:val="0"/>
        <w:numPr>
          <w:ilvl w:val="0"/>
          <w:numId w:val="12"/>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具有两路AUX输入，每路输入具有音量控制旋钮；</w:t>
      </w:r>
    </w:p>
    <w:p>
      <w:pPr>
        <w:pageBreakBefore w:val="0"/>
        <w:numPr>
          <w:ilvl w:val="0"/>
          <w:numId w:val="12"/>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具有1路话筒输入，话筒音量单独可调</w:t>
      </w:r>
      <w:r>
        <w:rPr>
          <w:rFonts w:hint="eastAsia" w:ascii="宋体" w:hAnsi="宋体" w:eastAsia="宋体" w:cs="宋体"/>
          <w:bCs/>
          <w:color w:val="auto"/>
          <w:kern w:val="0"/>
          <w:sz w:val="22"/>
          <w:szCs w:val="22"/>
          <w:highlight w:val="none"/>
          <w:lang w:eastAsia="zh-CN"/>
        </w:rPr>
        <w:t>；</w:t>
      </w:r>
    </w:p>
    <w:p>
      <w:pPr>
        <w:pageBreakBefore w:val="0"/>
        <w:numPr>
          <w:ilvl w:val="0"/>
          <w:numId w:val="12"/>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具有网路输入口，实现网络解码功能</w:t>
      </w:r>
      <w:r>
        <w:rPr>
          <w:rFonts w:hint="eastAsia" w:ascii="宋体" w:hAnsi="宋体" w:eastAsia="宋体" w:cs="宋体"/>
          <w:bCs/>
          <w:color w:val="auto"/>
          <w:kern w:val="0"/>
          <w:sz w:val="22"/>
          <w:szCs w:val="22"/>
          <w:highlight w:val="none"/>
          <w:lang w:eastAsia="zh-CN"/>
        </w:rPr>
        <w:t>；</w:t>
      </w:r>
    </w:p>
    <w:p>
      <w:pPr>
        <w:pageBreakBefore w:val="0"/>
        <w:numPr>
          <w:ilvl w:val="0"/>
          <w:numId w:val="12"/>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具有1路录音输出，录音输出音量单独可调</w:t>
      </w:r>
      <w:r>
        <w:rPr>
          <w:rFonts w:hint="eastAsia" w:ascii="宋体" w:hAnsi="宋体" w:eastAsia="宋体" w:cs="宋体"/>
          <w:bCs/>
          <w:color w:val="auto"/>
          <w:kern w:val="0"/>
          <w:sz w:val="22"/>
          <w:szCs w:val="22"/>
          <w:highlight w:val="none"/>
          <w:lang w:eastAsia="zh-CN"/>
        </w:rPr>
        <w:t>；</w:t>
      </w:r>
    </w:p>
    <w:p>
      <w:pPr>
        <w:pageBreakBefore w:val="0"/>
        <w:numPr>
          <w:ilvl w:val="0"/>
          <w:numId w:val="12"/>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可输出定压70V/100V，定阻4-16Ω。</w:t>
      </w:r>
    </w:p>
    <w:p>
      <w:pPr>
        <w:pageBreakBefore w:val="0"/>
        <w:numPr>
          <w:ilvl w:val="0"/>
          <w:numId w:val="12"/>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具有总音量调整旋钮</w:t>
      </w:r>
      <w:r>
        <w:rPr>
          <w:rFonts w:hint="eastAsia" w:ascii="宋体" w:hAnsi="宋体" w:eastAsia="宋体" w:cs="宋体"/>
          <w:bCs/>
          <w:color w:val="auto"/>
          <w:kern w:val="0"/>
          <w:sz w:val="22"/>
          <w:szCs w:val="22"/>
          <w:highlight w:val="none"/>
          <w:lang w:eastAsia="zh-CN"/>
        </w:rPr>
        <w:t>；</w:t>
      </w:r>
    </w:p>
    <w:p>
      <w:pPr>
        <w:pageBreakBefore w:val="0"/>
        <w:numPr>
          <w:ilvl w:val="0"/>
          <w:numId w:val="12"/>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输入阻抗：≥7.5KΩ</w:t>
      </w:r>
      <w:r>
        <w:rPr>
          <w:rFonts w:hint="eastAsia" w:ascii="宋体" w:hAnsi="宋体" w:eastAsia="宋体" w:cs="宋体"/>
          <w:bCs/>
          <w:color w:val="auto"/>
          <w:kern w:val="0"/>
          <w:sz w:val="22"/>
          <w:szCs w:val="22"/>
          <w:highlight w:val="none"/>
          <w:lang w:eastAsia="zh-CN"/>
        </w:rPr>
        <w:t>；</w:t>
      </w:r>
    </w:p>
    <w:p>
      <w:pPr>
        <w:pageBreakBefore w:val="0"/>
        <w:numPr>
          <w:ilvl w:val="0"/>
          <w:numId w:val="12"/>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线路输入灵敏度：300mV±50mV</w:t>
      </w:r>
      <w:r>
        <w:rPr>
          <w:rFonts w:hint="eastAsia" w:ascii="宋体" w:hAnsi="宋体" w:eastAsia="宋体" w:cs="宋体"/>
          <w:bCs/>
          <w:color w:val="auto"/>
          <w:kern w:val="0"/>
          <w:sz w:val="22"/>
          <w:szCs w:val="22"/>
          <w:highlight w:val="none"/>
          <w:lang w:eastAsia="zh-CN"/>
        </w:rPr>
        <w:t>；</w:t>
      </w:r>
    </w:p>
    <w:p>
      <w:pPr>
        <w:pageBreakBefore w:val="0"/>
        <w:numPr>
          <w:ilvl w:val="0"/>
          <w:numId w:val="12"/>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话筒输入灵敏度：13mV±5mV</w:t>
      </w:r>
      <w:r>
        <w:rPr>
          <w:rFonts w:hint="eastAsia" w:ascii="宋体" w:hAnsi="宋体" w:eastAsia="宋体" w:cs="宋体"/>
          <w:bCs/>
          <w:color w:val="auto"/>
          <w:kern w:val="0"/>
          <w:sz w:val="22"/>
          <w:szCs w:val="22"/>
          <w:highlight w:val="none"/>
          <w:lang w:eastAsia="zh-CN"/>
        </w:rPr>
        <w:t>；</w:t>
      </w:r>
    </w:p>
    <w:p>
      <w:pPr>
        <w:pageBreakBefore w:val="0"/>
        <w:numPr>
          <w:ilvl w:val="0"/>
          <w:numId w:val="12"/>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频率响应：200Hz~16KHz+1/-5dB，80Hz~8KHz±2dB</w:t>
      </w:r>
      <w:r>
        <w:rPr>
          <w:rFonts w:hint="eastAsia" w:ascii="宋体" w:hAnsi="宋体" w:eastAsia="宋体" w:cs="宋体"/>
          <w:bCs/>
          <w:color w:val="auto"/>
          <w:kern w:val="0"/>
          <w:sz w:val="22"/>
          <w:szCs w:val="22"/>
          <w:highlight w:val="none"/>
          <w:lang w:eastAsia="zh-CN"/>
        </w:rPr>
        <w:t>；</w:t>
      </w:r>
    </w:p>
    <w:p>
      <w:pPr>
        <w:pageBreakBefore w:val="0"/>
        <w:numPr>
          <w:ilvl w:val="0"/>
          <w:numId w:val="12"/>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总谐波失真：80Hz ~16KHz 1/3额定功率：≤2%；1KHz 1/3额定功率：≤1%；80Hz ~8KHz：≤5%</w:t>
      </w:r>
      <w:r>
        <w:rPr>
          <w:rFonts w:hint="eastAsia" w:ascii="宋体" w:hAnsi="宋体" w:eastAsia="宋体" w:cs="宋体"/>
          <w:bCs/>
          <w:color w:val="auto"/>
          <w:kern w:val="0"/>
          <w:sz w:val="22"/>
          <w:szCs w:val="22"/>
          <w:highlight w:val="none"/>
          <w:lang w:eastAsia="zh-CN"/>
        </w:rPr>
        <w:t>；</w:t>
      </w:r>
    </w:p>
    <w:p>
      <w:pPr>
        <w:pageBreakBefore w:val="0"/>
        <w:numPr>
          <w:ilvl w:val="0"/>
          <w:numId w:val="12"/>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信噪比：话筒≥55 dB A计权）；线路≥75 dB（A计权）</w:t>
      </w:r>
      <w:r>
        <w:rPr>
          <w:rFonts w:hint="eastAsia" w:ascii="宋体" w:hAnsi="宋体" w:eastAsia="宋体" w:cs="宋体"/>
          <w:bCs/>
          <w:color w:val="auto"/>
          <w:kern w:val="0"/>
          <w:sz w:val="22"/>
          <w:szCs w:val="22"/>
          <w:highlight w:val="none"/>
          <w:lang w:eastAsia="zh-CN"/>
        </w:rPr>
        <w:t>；</w:t>
      </w:r>
    </w:p>
    <w:p>
      <w:pPr>
        <w:pageBreakBefore w:val="0"/>
        <w:numPr>
          <w:ilvl w:val="0"/>
          <w:numId w:val="12"/>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过载源电动势与额定源电动势之比：≥14</w:t>
      </w:r>
      <w:r>
        <w:rPr>
          <w:rFonts w:hint="eastAsia" w:ascii="宋体" w:hAnsi="宋体" w:eastAsia="宋体" w:cs="宋体"/>
          <w:bCs/>
          <w:color w:val="auto"/>
          <w:kern w:val="0"/>
          <w:sz w:val="22"/>
          <w:szCs w:val="22"/>
          <w:highlight w:val="none"/>
          <w:lang w:eastAsia="zh-CN"/>
        </w:rPr>
        <w:t>；</w:t>
      </w:r>
    </w:p>
    <w:p>
      <w:pPr>
        <w:pageBreakBefore w:val="0"/>
        <w:numPr>
          <w:ilvl w:val="0"/>
          <w:numId w:val="12"/>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调整率： 400HZ≤2；4KHZ≤2.5</w:t>
      </w:r>
      <w:r>
        <w:rPr>
          <w:rFonts w:hint="eastAsia" w:ascii="宋体" w:hAnsi="宋体" w:eastAsia="宋体" w:cs="宋体"/>
          <w:bCs/>
          <w:color w:val="auto"/>
          <w:kern w:val="0"/>
          <w:sz w:val="22"/>
          <w:szCs w:val="22"/>
          <w:highlight w:val="none"/>
          <w:lang w:eastAsia="zh-CN"/>
        </w:rPr>
        <w:t>；</w:t>
      </w:r>
    </w:p>
    <w:p>
      <w:pPr>
        <w:pageBreakBefore w:val="0"/>
        <w:numPr>
          <w:ilvl w:val="0"/>
          <w:numId w:val="12"/>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输出功率：80W</w:t>
      </w:r>
      <w:r>
        <w:rPr>
          <w:rFonts w:hint="eastAsia" w:ascii="宋体" w:hAnsi="宋体" w:eastAsia="宋体" w:cs="宋体"/>
          <w:bCs/>
          <w:color w:val="auto"/>
          <w:kern w:val="0"/>
          <w:sz w:val="22"/>
          <w:szCs w:val="22"/>
          <w:highlight w:val="none"/>
          <w:lang w:eastAsia="zh-CN"/>
        </w:rPr>
        <w:t>；</w:t>
      </w:r>
    </w:p>
    <w:p>
      <w:pPr>
        <w:pageBreakBefore w:val="0"/>
        <w:numPr>
          <w:ilvl w:val="0"/>
          <w:numId w:val="12"/>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消耗功率：150W</w:t>
      </w:r>
      <w:r>
        <w:rPr>
          <w:rFonts w:hint="eastAsia" w:ascii="宋体" w:hAnsi="宋体" w:eastAsia="宋体" w:cs="宋体"/>
          <w:bCs/>
          <w:color w:val="auto"/>
          <w:kern w:val="0"/>
          <w:sz w:val="22"/>
          <w:szCs w:val="22"/>
          <w:highlight w:val="none"/>
          <w:lang w:eastAsia="zh-CN"/>
        </w:rPr>
        <w:t>；</w:t>
      </w:r>
    </w:p>
    <w:p>
      <w:pPr>
        <w:pageBreakBefore w:val="0"/>
        <w:numPr>
          <w:ilvl w:val="0"/>
          <w:numId w:val="12"/>
        </w:numPr>
        <w:kinsoku/>
        <w:wordWrap/>
        <w:overflowPunct/>
        <w:topLinePunct w:val="0"/>
        <w:bidi w:val="0"/>
        <w:snapToGrid/>
        <w:spacing w:line="360" w:lineRule="exact"/>
        <w:ind w:left="0" w:firstLine="440" w:firstLineChars="200"/>
        <w:rPr>
          <w:rFonts w:hint="eastAsia" w:ascii="宋体" w:hAnsi="宋体" w:eastAsia="宋体" w:cs="宋体"/>
          <w:b/>
          <w:color w:val="auto"/>
          <w:spacing w:val="-6"/>
          <w:sz w:val="22"/>
          <w:szCs w:val="22"/>
          <w:highlight w:val="none"/>
        </w:rPr>
      </w:pPr>
      <w:r>
        <w:rPr>
          <w:rFonts w:hint="eastAsia" w:ascii="宋体" w:hAnsi="宋体" w:eastAsia="宋体" w:cs="宋体"/>
          <w:bCs/>
          <w:color w:val="auto"/>
          <w:kern w:val="0"/>
          <w:sz w:val="22"/>
          <w:szCs w:val="22"/>
          <w:highlight w:val="none"/>
        </w:rPr>
        <w:t>额定电源电压：AC 220V/50Hz（±10%）</w:t>
      </w:r>
      <w:r>
        <w:rPr>
          <w:rFonts w:hint="eastAsia" w:ascii="宋体" w:hAnsi="宋体" w:eastAsia="宋体" w:cs="宋体"/>
          <w:bCs/>
          <w:color w:val="auto"/>
          <w:kern w:val="0"/>
          <w:sz w:val="22"/>
          <w:szCs w:val="22"/>
          <w:highlight w:val="none"/>
          <w:lang w:eastAsia="zh-CN"/>
        </w:rPr>
        <w:t>。</w:t>
      </w:r>
    </w:p>
    <w:p>
      <w:pPr>
        <w:pStyle w:val="2"/>
        <w:numPr>
          <w:ilvl w:val="0"/>
          <w:numId w:val="13"/>
        </w:numPr>
        <w:ind w:left="420" w:leftChars="200"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kern w:val="0"/>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所有解码功放均需接入校级标准化语音广播平台。</w:t>
      </w:r>
    </w:p>
    <w:p>
      <w:pPr>
        <w:pStyle w:val="3"/>
        <w:pageBreakBefore w:val="0"/>
        <w:numPr>
          <w:ilvl w:val="0"/>
          <w:numId w:val="3"/>
        </w:numPr>
        <w:kinsoku/>
        <w:wordWrap/>
        <w:overflowPunct/>
        <w:topLinePunct w:val="0"/>
        <w:bidi w:val="0"/>
        <w:snapToGrid/>
        <w:spacing w:before="0" w:after="0" w:line="360" w:lineRule="exact"/>
        <w:ind w:left="0" w:firstLine="442"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壁挂音箱</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48只</w:t>
      </w:r>
      <w:r>
        <w:rPr>
          <w:rFonts w:hint="eastAsia" w:ascii="宋体" w:hAnsi="宋体" w:eastAsia="宋体" w:cs="宋体"/>
          <w:color w:val="auto"/>
          <w:sz w:val="22"/>
          <w:szCs w:val="22"/>
          <w:highlight w:val="none"/>
          <w:lang w:eastAsia="zh-CN"/>
        </w:rPr>
        <w:t>）</w:t>
      </w:r>
    </w:p>
    <w:p>
      <w:pPr>
        <w:pageBreakBefore w:val="0"/>
        <w:numPr>
          <w:ilvl w:val="0"/>
          <w:numId w:val="14"/>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壁挂音箱采用一只优质5吋中低音和一只高音扬声器，二单元二分频。</w:t>
      </w:r>
    </w:p>
    <w:p>
      <w:pPr>
        <w:pageBreakBefore w:val="0"/>
        <w:numPr>
          <w:ilvl w:val="0"/>
          <w:numId w:val="14"/>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具有外型美观，安装方便，可靠性高，传输距离远，保真度高，使用方便等特点。</w:t>
      </w:r>
    </w:p>
    <w:p>
      <w:pPr>
        <w:pageBreakBefore w:val="0"/>
        <w:numPr>
          <w:ilvl w:val="0"/>
          <w:numId w:val="14"/>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外形为弧型，安装方式为壁挂式安装，</w:t>
      </w:r>
    </w:p>
    <w:p>
      <w:pPr>
        <w:pageBreakBefore w:val="0"/>
        <w:numPr>
          <w:ilvl w:val="0"/>
          <w:numId w:val="14"/>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可广泛应用于学校，车站，码头，宾馆，机场及体育馆等播音场所。</w:t>
      </w:r>
    </w:p>
    <w:p>
      <w:pPr>
        <w:pageBreakBefore w:val="0"/>
        <w:numPr>
          <w:ilvl w:val="0"/>
          <w:numId w:val="14"/>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额定功率：6W。</w:t>
      </w:r>
    </w:p>
    <w:p>
      <w:pPr>
        <w:pageBreakBefore w:val="0"/>
        <w:numPr>
          <w:ilvl w:val="0"/>
          <w:numId w:val="14"/>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输入电压：100V。</w:t>
      </w:r>
    </w:p>
    <w:p>
      <w:pPr>
        <w:pageBreakBefore w:val="0"/>
        <w:numPr>
          <w:ilvl w:val="0"/>
          <w:numId w:val="14"/>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频率范围：100Hz-15KHz(±15%)。</w:t>
      </w:r>
    </w:p>
    <w:p>
      <w:pPr>
        <w:pageBreakBefore w:val="0"/>
        <w:numPr>
          <w:ilvl w:val="0"/>
          <w:numId w:val="14"/>
        </w:numPr>
        <w:kinsoku/>
        <w:wordWrap/>
        <w:overflowPunct/>
        <w:topLinePunct w:val="0"/>
        <w:bidi w:val="0"/>
        <w:snapToGrid/>
        <w:spacing w:line="360" w:lineRule="exact"/>
        <w:ind w:left="0" w:firstLine="440" w:firstLineChars="200"/>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灵敏度：89dB±3dB。</w:t>
      </w:r>
    </w:p>
    <w:p>
      <w:pPr>
        <w:pStyle w:val="2"/>
        <w:ind w:left="0" w:leftChars="0" w:firstLine="420" w:firstLineChars="190"/>
        <w:rPr>
          <w:rFonts w:hint="default" w:eastAsia="宋体"/>
          <w:color w:val="auto"/>
          <w:highlight w:val="none"/>
          <w:lang w:val="en-US" w:eastAsia="zh-CN"/>
        </w:rPr>
        <w:sectPr>
          <w:headerReference r:id="rId3" w:type="default"/>
          <w:footerReference r:id="rId4" w:type="default"/>
          <w:pgSz w:w="11906" w:h="16838"/>
          <w:pgMar w:top="1247" w:right="1134" w:bottom="1247" w:left="1134"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s="宋体"/>
          <w:color w:val="auto"/>
          <w:kern w:val="0"/>
          <w:sz w:val="22"/>
          <w:szCs w:val="22"/>
          <w:highlight w:val="none"/>
          <w:lang w:val="en-US" w:eastAsia="zh-CN" w:bidi="ar"/>
        </w:rPr>
        <w:t>9.除上述设备的安装和集成，成交供应商还需完成整个巡考和语音系统与本校智慧教室集控中心的融合对接，包括考点视频的解码上墙和轮回巡视，标准化语音的点对点广播等。</w:t>
      </w:r>
    </w:p>
    <w:p>
      <w:pPr>
        <w:snapToGrid w:val="0"/>
        <w:spacing w:line="360" w:lineRule="exact"/>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四、其他</w:t>
      </w:r>
    </w:p>
    <w:p>
      <w:pPr>
        <w:spacing w:line="360" w:lineRule="exact"/>
        <w:ind w:firstLine="418" w:firstLineChars="200"/>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1.标“▲且加下划线”的有关技术和商务要求为实质性条款，响应方必须做出实质性响应</w:t>
      </w:r>
      <w:r>
        <w:rPr>
          <w:rFonts w:hint="eastAsia" w:ascii="宋体" w:hAnsi="宋体" w:eastAsia="宋体" w:cs="宋体"/>
          <w:b/>
          <w:bCs/>
          <w:color w:val="auto"/>
          <w:spacing w:val="-6"/>
          <w:sz w:val="22"/>
          <w:szCs w:val="22"/>
          <w:highlight w:val="none"/>
        </w:rPr>
        <w:t>，否则视为无效响应文件。</w:t>
      </w:r>
      <w:r>
        <w:rPr>
          <w:rFonts w:hint="eastAsia" w:ascii="宋体" w:hAnsi="宋体" w:eastAsia="宋体" w:cs="宋体"/>
          <w:b/>
          <w:color w:val="auto"/>
          <w:spacing w:val="-6"/>
          <w:sz w:val="22"/>
          <w:szCs w:val="22"/>
          <w:highlight w:val="none"/>
        </w:rPr>
        <w:t>标“</w:t>
      </w:r>
      <w:r>
        <w:rPr>
          <w:rFonts w:hint="eastAsia" w:ascii="宋体" w:hAnsi="宋体" w:eastAsia="宋体" w:cs="宋体"/>
          <w:b/>
          <w:color w:val="auto"/>
          <w:spacing w:val="-6"/>
          <w:sz w:val="22"/>
          <w:szCs w:val="22"/>
          <w:highlight w:val="none"/>
          <w:lang w:eastAsia="zh-CN"/>
        </w:rPr>
        <w:t>★且加下划线</w:t>
      </w:r>
      <w:r>
        <w:rPr>
          <w:rFonts w:hint="eastAsia" w:ascii="宋体" w:hAnsi="宋体" w:eastAsia="宋体" w:cs="宋体"/>
          <w:b/>
          <w:color w:val="auto"/>
          <w:spacing w:val="-6"/>
          <w:sz w:val="22"/>
          <w:szCs w:val="22"/>
          <w:highlight w:val="none"/>
        </w:rPr>
        <w:t>”的有关技术和商务要求为重要条款。除此之外其余的指标、服务要求以及合同条款可在磋商现场，根据磋商小组与供应商的磋商进行变动。</w:t>
      </w:r>
    </w:p>
    <w:p>
      <w:pPr>
        <w:spacing w:line="360" w:lineRule="exact"/>
        <w:ind w:firstLine="418" w:firstLineChars="200"/>
        <w:rPr>
          <w:rFonts w:hint="eastAsia" w:ascii="宋体" w:hAnsi="宋体" w:eastAsia="宋体" w:cs="宋体"/>
          <w:b/>
          <w:bCs/>
          <w:color w:val="auto"/>
          <w:kern w:val="0"/>
          <w:sz w:val="22"/>
          <w:szCs w:val="22"/>
          <w:highlight w:val="none"/>
        </w:rPr>
      </w:pPr>
      <w:r>
        <w:rPr>
          <w:rFonts w:hint="eastAsia" w:ascii="宋体" w:hAnsi="宋体" w:eastAsia="宋体" w:cs="宋体"/>
          <w:b/>
          <w:color w:val="auto"/>
          <w:spacing w:val="-6"/>
          <w:sz w:val="22"/>
          <w:szCs w:val="22"/>
          <w:highlight w:val="none"/>
        </w:rPr>
        <w:t>2.除磋商文件中所明确的采购需求规格外，欢迎其他能满足本项目采购需求且性能相当于或高于所明确的产品参加磋商报价。同时在采购需求偏离表中作出详细对比说明</w:t>
      </w:r>
      <w:r>
        <w:rPr>
          <w:rFonts w:hint="eastAsia" w:ascii="宋体" w:hAnsi="宋体" w:eastAsia="宋体" w:cs="宋体"/>
          <w:b/>
          <w:bCs/>
          <w:color w:val="auto"/>
          <w:kern w:val="0"/>
          <w:sz w:val="22"/>
          <w:szCs w:val="22"/>
          <w:highlight w:val="none"/>
        </w:rPr>
        <w:t>。</w:t>
      </w:r>
    </w:p>
    <w:p>
      <w:pPr>
        <w:snapToGrid w:val="0"/>
        <w:spacing w:line="340" w:lineRule="exact"/>
        <w:ind w:firstLine="418" w:firstLineChars="200"/>
        <w:jc w:val="left"/>
        <w:rPr>
          <w:rFonts w:hint="eastAsia" w:ascii="宋体" w:hAnsi="宋体" w:eastAsia="宋体" w:cs="宋体"/>
          <w:color w:val="auto"/>
          <w:kern w:val="0"/>
          <w:sz w:val="22"/>
          <w:szCs w:val="22"/>
          <w:highlight w:val="none"/>
          <w:lang w:bidi="ar"/>
        </w:rPr>
      </w:pPr>
      <w:r>
        <w:rPr>
          <w:rFonts w:hint="eastAsia" w:ascii="宋体" w:hAnsi="宋体" w:eastAsia="宋体" w:cs="宋体"/>
          <w:b/>
          <w:color w:val="auto"/>
          <w:spacing w:val="-6"/>
          <w:sz w:val="22"/>
          <w:szCs w:val="22"/>
          <w:highlight w:val="none"/>
        </w:rPr>
        <w:t>3.如技术要求中未特别注明需执行的国家相关标准、行业标准、地方标准或者其他标准、规范，则统一执行最新标准、规范。</w:t>
      </w:r>
    </w:p>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single" w:color="auto" w:sz="4" w:space="1"/>
        <w:right w:val="none" w:color="auto" w:sz="0" w:space="0"/>
      </w:pBdr>
      <w:jc w:val="left"/>
      <w:rPr>
        <w:rFonts w:hint="eastAsia"/>
      </w:rPr>
    </w:pPr>
    <w:r>
      <w:rPr>
        <w:rFonts w:hint="eastAsia"/>
        <w:szCs w:val="22"/>
      </w:rPr>
      <w:t>浙江乐诚工程咨询有限公司磋商文件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BA9B0"/>
    <w:multiLevelType w:val="singleLevel"/>
    <w:tmpl w:val="9A5BA9B0"/>
    <w:lvl w:ilvl="0" w:tentative="0">
      <w:start w:val="1"/>
      <w:numFmt w:val="decimal"/>
      <w:lvlText w:val="(%1)"/>
      <w:lvlJc w:val="left"/>
      <w:pPr>
        <w:tabs>
          <w:tab w:val="left" w:pos="0"/>
        </w:tabs>
        <w:ind w:left="0" w:firstLine="0"/>
      </w:pPr>
      <w:rPr>
        <w:rFonts w:hint="default"/>
      </w:rPr>
    </w:lvl>
  </w:abstractNum>
  <w:abstractNum w:abstractNumId="1">
    <w:nsid w:val="A020C568"/>
    <w:multiLevelType w:val="singleLevel"/>
    <w:tmpl w:val="A020C568"/>
    <w:lvl w:ilvl="0" w:tentative="0">
      <w:start w:val="1"/>
      <w:numFmt w:val="decimal"/>
      <w:lvlText w:val="(%1)"/>
      <w:lvlJc w:val="left"/>
      <w:pPr>
        <w:tabs>
          <w:tab w:val="left" w:pos="0"/>
        </w:tabs>
        <w:ind w:left="0" w:firstLine="0"/>
      </w:pPr>
      <w:rPr>
        <w:rFonts w:hint="default"/>
      </w:rPr>
    </w:lvl>
  </w:abstractNum>
  <w:abstractNum w:abstractNumId="2">
    <w:nsid w:val="B3C45458"/>
    <w:multiLevelType w:val="singleLevel"/>
    <w:tmpl w:val="B3C45458"/>
    <w:lvl w:ilvl="0" w:tentative="0">
      <w:start w:val="1"/>
      <w:numFmt w:val="decimal"/>
      <w:lvlText w:val="(%1)"/>
      <w:lvlJc w:val="left"/>
      <w:pPr>
        <w:tabs>
          <w:tab w:val="left" w:pos="0"/>
        </w:tabs>
        <w:ind w:left="0" w:firstLine="0"/>
      </w:pPr>
      <w:rPr>
        <w:rFonts w:hint="default"/>
      </w:rPr>
    </w:lvl>
  </w:abstractNum>
  <w:abstractNum w:abstractNumId="3">
    <w:nsid w:val="B9A46285"/>
    <w:multiLevelType w:val="singleLevel"/>
    <w:tmpl w:val="B9A46285"/>
    <w:lvl w:ilvl="0" w:tentative="0">
      <w:start w:val="1"/>
      <w:numFmt w:val="decimalEnclosedCircleChinese"/>
      <w:suff w:val="nothing"/>
      <w:lvlText w:val="%1　"/>
      <w:lvlJc w:val="left"/>
      <w:pPr>
        <w:ind w:left="0" w:firstLine="400"/>
      </w:pPr>
      <w:rPr>
        <w:rFonts w:hint="eastAsia"/>
      </w:rPr>
    </w:lvl>
  </w:abstractNum>
  <w:abstractNum w:abstractNumId="4">
    <w:nsid w:val="C32E35ED"/>
    <w:multiLevelType w:val="singleLevel"/>
    <w:tmpl w:val="C32E35ED"/>
    <w:lvl w:ilvl="0" w:tentative="0">
      <w:start w:val="1"/>
      <w:numFmt w:val="decimal"/>
      <w:lvlText w:val="(%1)"/>
      <w:lvlJc w:val="left"/>
      <w:pPr>
        <w:tabs>
          <w:tab w:val="left" w:pos="0"/>
        </w:tabs>
        <w:ind w:left="0" w:firstLine="0"/>
      </w:pPr>
      <w:rPr>
        <w:rFonts w:hint="default"/>
      </w:rPr>
    </w:lvl>
  </w:abstractNum>
  <w:abstractNum w:abstractNumId="5">
    <w:nsid w:val="EE2B9E3A"/>
    <w:multiLevelType w:val="singleLevel"/>
    <w:tmpl w:val="EE2B9E3A"/>
    <w:lvl w:ilvl="0" w:tentative="0">
      <w:start w:val="1"/>
      <w:numFmt w:val="decimal"/>
      <w:lvlText w:val="(%1)"/>
      <w:lvlJc w:val="left"/>
      <w:pPr>
        <w:tabs>
          <w:tab w:val="left" w:pos="0"/>
        </w:tabs>
        <w:ind w:left="0" w:firstLine="0"/>
      </w:pPr>
      <w:rPr>
        <w:rFonts w:hint="default"/>
      </w:rPr>
    </w:lvl>
  </w:abstractNum>
  <w:abstractNum w:abstractNumId="6">
    <w:nsid w:val="EF82BFD4"/>
    <w:multiLevelType w:val="singleLevel"/>
    <w:tmpl w:val="EF82BFD4"/>
    <w:lvl w:ilvl="0" w:tentative="0">
      <w:start w:val="3"/>
      <w:numFmt w:val="chineseCounting"/>
      <w:suff w:val="nothing"/>
      <w:lvlText w:val="%1、"/>
      <w:lvlJc w:val="left"/>
      <w:rPr>
        <w:rFonts w:hint="eastAsia"/>
      </w:rPr>
    </w:lvl>
  </w:abstractNum>
  <w:abstractNum w:abstractNumId="7">
    <w:nsid w:val="F461872F"/>
    <w:multiLevelType w:val="singleLevel"/>
    <w:tmpl w:val="F461872F"/>
    <w:lvl w:ilvl="0" w:tentative="0">
      <w:start w:val="19"/>
      <w:numFmt w:val="decimal"/>
      <w:suff w:val="nothing"/>
      <w:lvlText w:val="（%1）"/>
      <w:lvlJc w:val="left"/>
    </w:lvl>
  </w:abstractNum>
  <w:abstractNum w:abstractNumId="8">
    <w:nsid w:val="09556953"/>
    <w:multiLevelType w:val="singleLevel"/>
    <w:tmpl w:val="09556953"/>
    <w:lvl w:ilvl="0" w:tentative="0">
      <w:start w:val="1"/>
      <w:numFmt w:val="decimal"/>
      <w:lvlText w:val="(%1)"/>
      <w:lvlJc w:val="left"/>
      <w:pPr>
        <w:tabs>
          <w:tab w:val="left" w:pos="0"/>
        </w:tabs>
        <w:ind w:left="0" w:firstLine="0"/>
      </w:pPr>
      <w:rPr>
        <w:rFonts w:hint="default"/>
      </w:rPr>
    </w:lvl>
  </w:abstractNum>
  <w:abstractNum w:abstractNumId="9">
    <w:nsid w:val="2F4B0C53"/>
    <w:multiLevelType w:val="singleLevel"/>
    <w:tmpl w:val="2F4B0C53"/>
    <w:lvl w:ilvl="0" w:tentative="0">
      <w:start w:val="13"/>
      <w:numFmt w:val="decimal"/>
      <w:suff w:val="space"/>
      <w:lvlText w:val="（%1）"/>
      <w:lvlJc w:val="left"/>
    </w:lvl>
  </w:abstractNum>
  <w:abstractNum w:abstractNumId="10">
    <w:nsid w:val="39215BDC"/>
    <w:multiLevelType w:val="singleLevel"/>
    <w:tmpl w:val="39215BDC"/>
    <w:lvl w:ilvl="0" w:tentative="0">
      <w:start w:val="1"/>
      <w:numFmt w:val="decimal"/>
      <w:lvlText w:val="%1."/>
      <w:lvlJc w:val="left"/>
      <w:pPr>
        <w:tabs>
          <w:tab w:val="left" w:pos="420"/>
        </w:tabs>
        <w:ind w:left="425" w:hanging="425"/>
      </w:pPr>
      <w:rPr>
        <w:rFonts w:hint="default"/>
      </w:rPr>
    </w:lvl>
  </w:abstractNum>
  <w:abstractNum w:abstractNumId="11">
    <w:nsid w:val="4D03AA90"/>
    <w:multiLevelType w:val="singleLevel"/>
    <w:tmpl w:val="4D03AA90"/>
    <w:lvl w:ilvl="0" w:tentative="0">
      <w:start w:val="1"/>
      <w:numFmt w:val="decimal"/>
      <w:lvlText w:val="(%1)"/>
      <w:lvlJc w:val="left"/>
      <w:pPr>
        <w:tabs>
          <w:tab w:val="left" w:pos="0"/>
        </w:tabs>
        <w:ind w:left="0" w:firstLine="0"/>
      </w:pPr>
      <w:rPr>
        <w:rFonts w:hint="default"/>
      </w:rPr>
    </w:lvl>
  </w:abstractNum>
  <w:abstractNum w:abstractNumId="12">
    <w:nsid w:val="57FB876F"/>
    <w:multiLevelType w:val="singleLevel"/>
    <w:tmpl w:val="57FB876F"/>
    <w:lvl w:ilvl="0" w:tentative="0">
      <w:start w:val="1"/>
      <w:numFmt w:val="decimal"/>
      <w:lvlText w:val="(%1)"/>
      <w:lvlJc w:val="left"/>
      <w:pPr>
        <w:tabs>
          <w:tab w:val="left" w:pos="0"/>
        </w:tabs>
        <w:ind w:left="0" w:firstLine="0"/>
      </w:pPr>
      <w:rPr>
        <w:rFonts w:hint="default"/>
      </w:rPr>
    </w:lvl>
  </w:abstractNum>
  <w:abstractNum w:abstractNumId="13">
    <w:nsid w:val="599E34D6"/>
    <w:multiLevelType w:val="multilevel"/>
    <w:tmpl w:val="599E34D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3"/>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3"/>
  </w:num>
  <w:num w:numId="2">
    <w:abstractNumId w:val="6"/>
  </w:num>
  <w:num w:numId="3">
    <w:abstractNumId w:val="10"/>
  </w:num>
  <w:num w:numId="4">
    <w:abstractNumId w:val="4"/>
  </w:num>
  <w:num w:numId="5">
    <w:abstractNumId w:val="2"/>
  </w:num>
  <w:num w:numId="6">
    <w:abstractNumId w:val="5"/>
  </w:num>
  <w:num w:numId="7">
    <w:abstractNumId w:val="3"/>
  </w:num>
  <w:num w:numId="8">
    <w:abstractNumId w:val="11"/>
  </w:num>
  <w:num w:numId="9">
    <w:abstractNumId w:val="0"/>
  </w:num>
  <w:num w:numId="10">
    <w:abstractNumId w:val="9"/>
  </w:num>
  <w:num w:numId="11">
    <w:abstractNumId w:val="1"/>
  </w:num>
  <w:num w:numId="12">
    <w:abstractNumId w:val="12"/>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4ODBiZTM2NTAyNzkzODY2NWZiODk3ZmRkZDBiMjkifQ=="/>
  </w:docVars>
  <w:rsids>
    <w:rsidRoot w:val="00000000"/>
    <w:rsid w:val="4FC217FF"/>
    <w:rsid w:val="6AC01149"/>
    <w:rsid w:val="745B3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numPr>
        <w:ilvl w:val="2"/>
        <w:numId w:val="1"/>
      </w:numPr>
      <w:spacing w:before="260" w:after="26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2"/>
    <w:basedOn w:val="1"/>
    <w:next w:val="1"/>
    <w:uiPriority w:val="39"/>
    <w:pPr>
      <w:tabs>
        <w:tab w:val="right" w:leader="dot" w:pos="8302"/>
      </w:tabs>
      <w:ind w:leftChars="200"/>
    </w:pPr>
    <w:rPr>
      <w:b/>
      <w:sz w:val="24"/>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3906</Words>
  <Characters>4591</Characters>
  <Lines>0</Lines>
  <Paragraphs>0</Paragraphs>
  <TotalTime>0</TotalTime>
  <ScaleCrop>false</ScaleCrop>
  <LinksUpToDate>false</LinksUpToDate>
  <CharactersWithSpaces>4646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2022-07-01T01:11:00Z</dcterms:created>
  <dc:creator>Administrator</dc:creator>
  <cp:lastModifiedBy>hanfeng</cp:lastModifiedBy>
  <dcterms:modified xsi:type="dcterms:W3CDTF">2022-07-12T22:15:51Z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4FEAAD1A35F34998BBE7125AFB9614B7</vt:lpwstr>
  </property>
</Properties>
</file>