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FE1D7">
      <w:pPr>
        <w:spacing w:line="400" w:lineRule="exact"/>
        <w:jc w:val="center"/>
        <w:rPr>
          <w:rFonts w:hint="eastAsia" w:ascii="宋体" w:hAnsi="宋体"/>
          <w:b/>
          <w:color w:val="000000"/>
          <w:sz w:val="28"/>
          <w:szCs w:val="28"/>
        </w:rPr>
      </w:pPr>
      <w:r>
        <w:rPr>
          <w:rFonts w:hint="eastAsia" w:ascii="宋体" w:hAnsi="宋体"/>
          <w:b/>
          <w:color w:val="000000"/>
          <w:sz w:val="28"/>
          <w:szCs w:val="28"/>
        </w:rPr>
        <w:t>一、招标内容</w:t>
      </w:r>
    </w:p>
    <w:p w14:paraId="67EA694E">
      <w:pPr>
        <w:spacing w:line="400" w:lineRule="exact"/>
        <w:ind w:firstLine="470" w:firstLineChars="196"/>
        <w:rPr>
          <w:rFonts w:hint="eastAsia" w:ascii="宋体" w:hAnsi="宋体" w:cs="Arial"/>
          <w:color w:val="000000"/>
          <w:sz w:val="24"/>
        </w:rPr>
      </w:pPr>
      <w:bookmarkStart w:id="0" w:name="OLE_LINK21"/>
      <w:r>
        <w:rPr>
          <w:rFonts w:hint="eastAsia" w:ascii="宋体" w:hAnsi="宋体" w:cs="Arial"/>
          <w:color w:val="000000"/>
          <w:sz w:val="24"/>
          <w:lang w:eastAsia="zh-CN"/>
        </w:rPr>
        <w:t>温州理工学院数智学院智算中心基础设施建设工程</w:t>
      </w:r>
      <w:r>
        <w:rPr>
          <w:rFonts w:hint="eastAsia" w:ascii="宋体" w:hAnsi="宋体" w:cs="Arial"/>
          <w:color w:val="000000"/>
          <w:sz w:val="24"/>
        </w:rPr>
        <w:t>，</w:t>
      </w:r>
      <w:r>
        <w:rPr>
          <w:rFonts w:hint="eastAsia" w:ascii="宋体" w:hAnsi="宋体"/>
          <w:color w:val="000000"/>
          <w:sz w:val="24"/>
        </w:rPr>
        <w:t>具体以工程量清单及施工图为准</w:t>
      </w:r>
      <w:r>
        <w:rPr>
          <w:rFonts w:hint="eastAsia" w:ascii="宋体" w:hAnsi="宋体" w:cs="Arial"/>
          <w:color w:val="000000"/>
          <w:sz w:val="24"/>
        </w:rPr>
        <w:t>。</w:t>
      </w:r>
      <w:bookmarkEnd w:id="0"/>
    </w:p>
    <w:p w14:paraId="5188BF8E">
      <w:pPr>
        <w:spacing w:line="400" w:lineRule="exact"/>
        <w:jc w:val="center"/>
        <w:rPr>
          <w:rFonts w:hint="eastAsia" w:ascii="宋体" w:hAnsi="宋体"/>
          <w:b/>
          <w:color w:val="0000FF"/>
          <w:sz w:val="28"/>
          <w:szCs w:val="28"/>
        </w:rPr>
      </w:pPr>
    </w:p>
    <w:p w14:paraId="604CCD81">
      <w:pPr>
        <w:spacing w:line="400" w:lineRule="exact"/>
        <w:jc w:val="center"/>
        <w:rPr>
          <w:rFonts w:hint="eastAsia" w:ascii="宋体" w:hAnsi="宋体"/>
          <w:b/>
          <w:color w:val="000000"/>
          <w:sz w:val="28"/>
          <w:szCs w:val="28"/>
        </w:rPr>
      </w:pPr>
      <w:r>
        <w:rPr>
          <w:rFonts w:hint="eastAsia" w:ascii="宋体" w:hAnsi="宋体"/>
          <w:b/>
          <w:color w:val="000000"/>
          <w:sz w:val="28"/>
          <w:szCs w:val="28"/>
        </w:rPr>
        <w:t>二、发包人要求</w:t>
      </w:r>
    </w:p>
    <w:p w14:paraId="5FE15C96">
      <w:pPr>
        <w:pStyle w:val="2"/>
        <w:tabs>
          <w:tab w:val="left" w:pos="540"/>
        </w:tabs>
        <w:spacing w:line="400" w:lineRule="exact"/>
        <w:ind w:firstLine="600" w:firstLineChars="250"/>
        <w:rPr>
          <w:rFonts w:hAnsi="宋体" w:cs="Arial"/>
          <w:color w:val="000000"/>
          <w:kern w:val="0"/>
          <w:sz w:val="24"/>
          <w:szCs w:val="24"/>
        </w:rPr>
      </w:pPr>
      <w:r>
        <w:rPr>
          <w:rFonts w:hAnsi="宋体" w:cs="Arial"/>
          <w:color w:val="000000"/>
          <w:kern w:val="0"/>
          <w:sz w:val="24"/>
          <w:szCs w:val="24"/>
        </w:rPr>
        <w:t>一.本工程项目的材料、设备、施工必须达到以下现行中华人民共和国及省、市、行业的一切有关法规、规范的要求（不仅限于下列内容）。</w:t>
      </w:r>
    </w:p>
    <w:p w14:paraId="14612107">
      <w:pPr>
        <w:numPr>
          <w:ilvl w:val="0"/>
          <w:numId w:val="1"/>
        </w:numPr>
        <w:shd w:val="clear" w:color="auto" w:fill="FFFFFF"/>
        <w:spacing w:line="400" w:lineRule="exact"/>
        <w:rPr>
          <w:rFonts w:hint="eastAsia" w:ascii="宋体" w:hAnsi="宋体" w:cs="宋体"/>
          <w:color w:val="333333"/>
          <w:kern w:val="0"/>
          <w:sz w:val="24"/>
        </w:rPr>
      </w:pPr>
      <w:r>
        <w:rPr>
          <w:rFonts w:ascii="宋体" w:hAnsi="宋体"/>
          <w:kern w:val="0"/>
          <w:sz w:val="24"/>
        </w:rPr>
        <w:t>测量规范</w:t>
      </w:r>
      <w:r>
        <w:rPr>
          <w:rFonts w:hint="eastAsia" w:ascii="宋体" w:hAnsi="宋体"/>
          <w:kern w:val="0"/>
          <w:sz w:val="24"/>
        </w:rPr>
        <w:t>（</w:t>
      </w:r>
      <w:r>
        <w:rPr>
          <w:rFonts w:ascii="宋体" w:hAnsi="宋体"/>
          <w:kern w:val="0"/>
          <w:sz w:val="24"/>
        </w:rPr>
        <w:t>GB50026-2007</w:t>
      </w:r>
      <w:r>
        <w:rPr>
          <w:rFonts w:hint="eastAsia" w:ascii="宋体" w:hAnsi="宋体"/>
          <w:kern w:val="0"/>
          <w:sz w:val="24"/>
        </w:rPr>
        <w:t>）</w:t>
      </w:r>
    </w:p>
    <w:p w14:paraId="2904DE13">
      <w:pPr>
        <w:numPr>
          <w:ilvl w:val="0"/>
          <w:numId w:val="1"/>
        </w:numPr>
        <w:shd w:val="clear" w:color="auto" w:fill="FFFFFF"/>
        <w:spacing w:line="400" w:lineRule="exact"/>
        <w:rPr>
          <w:rFonts w:hint="eastAsia" w:ascii="宋体" w:hAnsi="宋体" w:cs="宋体"/>
          <w:color w:val="333333"/>
          <w:kern w:val="0"/>
          <w:sz w:val="24"/>
        </w:rPr>
      </w:pPr>
      <w:r>
        <w:rPr>
          <w:rFonts w:ascii="宋体" w:hAnsi="宋体"/>
          <w:kern w:val="0"/>
          <w:sz w:val="24"/>
        </w:rPr>
        <w:t>建筑工程项目管理规范GB/T50326-200</w:t>
      </w:r>
      <w:r>
        <w:rPr>
          <w:rFonts w:hint="eastAsia" w:ascii="宋体" w:hAnsi="宋体"/>
          <w:kern w:val="0"/>
          <w:sz w:val="24"/>
        </w:rPr>
        <w:t>6</w:t>
      </w:r>
      <w:r>
        <w:rPr>
          <w:rFonts w:ascii="宋体" w:hAnsi="宋体"/>
          <w:kern w:val="0"/>
          <w:sz w:val="24"/>
        </w:rPr>
        <w:t>；</w:t>
      </w:r>
    </w:p>
    <w:p w14:paraId="27770912">
      <w:pPr>
        <w:numPr>
          <w:ilvl w:val="0"/>
          <w:numId w:val="1"/>
        </w:numPr>
        <w:shd w:val="clear" w:color="auto" w:fill="FFFFFF"/>
        <w:spacing w:line="400" w:lineRule="exact"/>
        <w:rPr>
          <w:rFonts w:hint="eastAsia" w:ascii="宋体" w:hAnsi="宋体" w:cs="宋体"/>
          <w:color w:val="333333"/>
          <w:kern w:val="0"/>
          <w:sz w:val="24"/>
        </w:rPr>
      </w:pPr>
      <w:r>
        <w:rPr>
          <w:rFonts w:ascii="宋体" w:hAnsi="宋体"/>
          <w:kern w:val="0"/>
          <w:sz w:val="24"/>
        </w:rPr>
        <w:t>建设工程监理规范（GB/T50319—2013）；</w:t>
      </w:r>
    </w:p>
    <w:p w14:paraId="6F2CAF7D">
      <w:pPr>
        <w:numPr>
          <w:ilvl w:val="0"/>
          <w:numId w:val="1"/>
        </w:numPr>
        <w:shd w:val="clear" w:color="auto" w:fill="FFFFFF"/>
        <w:spacing w:line="400" w:lineRule="exact"/>
        <w:rPr>
          <w:rFonts w:hint="eastAsia" w:ascii="宋体" w:hAnsi="宋体" w:cs="宋体"/>
          <w:color w:val="333333"/>
          <w:kern w:val="0"/>
          <w:sz w:val="24"/>
        </w:rPr>
      </w:pPr>
      <w:r>
        <w:rPr>
          <w:rFonts w:ascii="宋体" w:hAnsi="宋体"/>
          <w:kern w:val="0"/>
          <w:sz w:val="24"/>
        </w:rPr>
        <w:t>建筑施工安全检查标准JGJ59-2011；</w:t>
      </w:r>
    </w:p>
    <w:p w14:paraId="1F45BAA8">
      <w:pPr>
        <w:numPr>
          <w:ilvl w:val="0"/>
          <w:numId w:val="1"/>
        </w:numPr>
        <w:shd w:val="clear" w:color="auto" w:fill="FFFFFF"/>
        <w:spacing w:line="400" w:lineRule="exact"/>
        <w:rPr>
          <w:rFonts w:hint="eastAsia" w:ascii="宋体" w:hAnsi="宋体" w:cs="宋体"/>
          <w:color w:val="333333"/>
          <w:kern w:val="0"/>
          <w:sz w:val="24"/>
        </w:rPr>
      </w:pPr>
      <w:r>
        <w:rPr>
          <w:rFonts w:hint="eastAsia" w:ascii="宋体" w:hAnsi="宋体"/>
          <w:kern w:val="0"/>
          <w:sz w:val="24"/>
        </w:rPr>
        <w:t>施工现场临时用电安全技术规范JGJ46-2005</w:t>
      </w:r>
      <w:r>
        <w:rPr>
          <w:rFonts w:ascii="宋体" w:hAnsi="宋体"/>
          <w:kern w:val="0"/>
          <w:sz w:val="24"/>
        </w:rPr>
        <w:t>；</w:t>
      </w:r>
    </w:p>
    <w:p w14:paraId="3C6E2F63">
      <w:pPr>
        <w:numPr>
          <w:ilvl w:val="0"/>
          <w:numId w:val="1"/>
        </w:numPr>
        <w:shd w:val="clear" w:color="auto" w:fill="FFFFFF"/>
        <w:spacing w:line="400" w:lineRule="exact"/>
        <w:rPr>
          <w:rFonts w:hint="eastAsia" w:ascii="宋体" w:hAnsi="宋体" w:cs="宋体"/>
          <w:color w:val="333333"/>
          <w:kern w:val="0"/>
          <w:sz w:val="24"/>
        </w:rPr>
      </w:pPr>
      <w:r>
        <w:rPr>
          <w:rFonts w:ascii="宋体" w:hAnsi="宋体"/>
          <w:kern w:val="0"/>
          <w:sz w:val="24"/>
        </w:rPr>
        <w:t>建设工程文件归档整理规范GB/T50328-</w:t>
      </w:r>
      <w:r>
        <w:rPr>
          <w:rFonts w:hint="eastAsia" w:ascii="宋体" w:hAnsi="宋体"/>
          <w:kern w:val="0"/>
          <w:sz w:val="24"/>
        </w:rPr>
        <w:t>2014</w:t>
      </w:r>
      <w:r>
        <w:rPr>
          <w:rFonts w:ascii="宋体" w:hAnsi="宋体"/>
          <w:kern w:val="0"/>
          <w:sz w:val="24"/>
        </w:rPr>
        <w:t>；</w:t>
      </w:r>
    </w:p>
    <w:p w14:paraId="7FE7B1C9">
      <w:pPr>
        <w:numPr>
          <w:ilvl w:val="0"/>
          <w:numId w:val="1"/>
        </w:numPr>
        <w:shd w:val="clear" w:color="auto" w:fill="FFFFFF"/>
        <w:spacing w:line="400" w:lineRule="exact"/>
        <w:rPr>
          <w:rFonts w:hint="eastAsia" w:ascii="宋体" w:hAnsi="宋体" w:cs="宋体"/>
          <w:color w:val="333333"/>
          <w:kern w:val="0"/>
          <w:sz w:val="24"/>
        </w:rPr>
      </w:pPr>
      <w:r>
        <w:rPr>
          <w:rFonts w:ascii="宋体" w:hAnsi="宋体"/>
          <w:kern w:val="0"/>
          <w:sz w:val="24"/>
        </w:rPr>
        <w:t>国家、地方、行业现行的建设工程其他规范和标准；</w:t>
      </w:r>
    </w:p>
    <w:p w14:paraId="0C8CDA2B">
      <w:pPr>
        <w:numPr>
          <w:ilvl w:val="0"/>
          <w:numId w:val="1"/>
        </w:numPr>
        <w:shd w:val="clear" w:color="auto" w:fill="FFFFFF"/>
        <w:spacing w:line="400" w:lineRule="exact"/>
        <w:rPr>
          <w:rFonts w:ascii="宋体" w:hAnsi="宋体" w:cs="宋体"/>
          <w:color w:val="333333"/>
          <w:kern w:val="0"/>
          <w:sz w:val="24"/>
        </w:rPr>
      </w:pPr>
      <w:r>
        <w:rPr>
          <w:rFonts w:ascii="宋体" w:hAnsi="宋体"/>
          <w:kern w:val="0"/>
          <w:sz w:val="24"/>
        </w:rPr>
        <w:t>国家、地方、行业现行的所有有关材料、设备和规范和标准。</w:t>
      </w:r>
    </w:p>
    <w:p w14:paraId="2BD8D029">
      <w:pPr>
        <w:pStyle w:val="3"/>
        <w:adjustRightInd w:val="0"/>
        <w:snapToGrid w:val="0"/>
        <w:spacing w:before="0" w:beforeAutospacing="0" w:after="0" w:afterAutospacing="0" w:line="400" w:lineRule="exact"/>
        <w:ind w:firstLine="480" w:firstLineChars="200"/>
        <w:jc w:val="both"/>
        <w:rPr>
          <w:rFonts w:cs="Arial"/>
          <w:kern w:val="2"/>
        </w:rPr>
      </w:pPr>
      <w:r>
        <w:rPr>
          <w:rFonts w:cs="Arial"/>
        </w:rPr>
        <w:t>二.该项工程下列项目的材料、施工除必须达到以上标准外，还应满足下列标准</w:t>
      </w:r>
      <w:r>
        <w:rPr>
          <w:rFonts w:cs="Arial"/>
          <w:kern w:val="2"/>
        </w:rPr>
        <w:t>要求：</w:t>
      </w:r>
    </w:p>
    <w:p w14:paraId="1041E10D">
      <w:pPr>
        <w:pStyle w:val="3"/>
        <w:widowControl w:val="0"/>
        <w:adjustRightInd w:val="0"/>
        <w:snapToGrid w:val="0"/>
        <w:spacing w:before="0" w:beforeAutospacing="0" w:after="0" w:afterAutospacing="0" w:line="400" w:lineRule="exact"/>
        <w:ind w:firstLine="480" w:firstLineChars="200"/>
        <w:jc w:val="both"/>
        <w:rPr>
          <w:rFonts w:cs="Arial"/>
        </w:rPr>
      </w:pPr>
      <w:r>
        <w:rPr>
          <w:rFonts w:cs="Arial"/>
        </w:rPr>
        <w:t>1.工程设计说明见施工图纸（如有）</w:t>
      </w:r>
    </w:p>
    <w:p w14:paraId="1A467E6F">
      <w:pPr>
        <w:pStyle w:val="3"/>
        <w:widowControl w:val="0"/>
        <w:adjustRightInd w:val="0"/>
        <w:snapToGrid w:val="0"/>
        <w:spacing w:before="0" w:beforeAutospacing="0" w:after="0" w:afterAutospacing="0" w:line="400" w:lineRule="exact"/>
        <w:ind w:firstLine="480" w:firstLineChars="200"/>
        <w:jc w:val="both"/>
        <w:rPr>
          <w:rFonts w:cs="Arial"/>
        </w:rPr>
      </w:pPr>
      <w:r>
        <w:rPr>
          <w:rFonts w:cs="Arial"/>
        </w:rPr>
        <w:t>2.总体技术要求</w:t>
      </w:r>
    </w:p>
    <w:p w14:paraId="6272297F">
      <w:pPr>
        <w:pStyle w:val="3"/>
        <w:widowControl w:val="0"/>
        <w:adjustRightInd w:val="0"/>
        <w:snapToGrid w:val="0"/>
        <w:spacing w:before="0" w:beforeAutospacing="0" w:after="0" w:afterAutospacing="0" w:line="400" w:lineRule="exact"/>
        <w:ind w:firstLine="480" w:firstLineChars="200"/>
        <w:jc w:val="both"/>
        <w:rPr>
          <w:rFonts w:cs="Arial"/>
        </w:rPr>
      </w:pPr>
      <w:r>
        <w:rPr>
          <w:rFonts w:cs="Arial"/>
        </w:rPr>
        <w:t>2.1必须达到施工图要求的各项技术指标；</w:t>
      </w:r>
    </w:p>
    <w:p w14:paraId="79EA40A3">
      <w:pPr>
        <w:pStyle w:val="3"/>
        <w:widowControl w:val="0"/>
        <w:adjustRightInd w:val="0"/>
        <w:snapToGrid w:val="0"/>
        <w:spacing w:before="0" w:beforeAutospacing="0" w:after="0" w:afterAutospacing="0" w:line="400" w:lineRule="exact"/>
        <w:ind w:firstLine="480" w:firstLineChars="200"/>
        <w:jc w:val="both"/>
        <w:rPr>
          <w:rFonts w:cs="Arial"/>
        </w:rPr>
      </w:pPr>
      <w:r>
        <w:rPr>
          <w:rFonts w:cs="Arial"/>
        </w:rPr>
        <w:t>2.2按下列规范要求进行施工和验收（不限于）：</w:t>
      </w:r>
    </w:p>
    <w:p w14:paraId="058941B8">
      <w:pPr>
        <w:pStyle w:val="3"/>
        <w:numPr>
          <w:ilvl w:val="0"/>
          <w:numId w:val="2"/>
        </w:numPr>
        <w:adjustRightInd w:val="0"/>
        <w:snapToGrid w:val="0"/>
        <w:spacing w:before="0" w:beforeAutospacing="0" w:after="0" w:afterAutospacing="0" w:line="360" w:lineRule="exact"/>
        <w:jc w:val="both"/>
        <w:rPr>
          <w:rFonts w:cs="Arial"/>
        </w:rPr>
      </w:pPr>
      <w:r>
        <w:rPr>
          <w:rFonts w:cs="Arial"/>
        </w:rPr>
        <w:t>建筑工程施工质量验收统一标准GB50300-2013</w:t>
      </w:r>
    </w:p>
    <w:p w14:paraId="3DD73DAD">
      <w:pPr>
        <w:pStyle w:val="3"/>
        <w:numPr>
          <w:ilvl w:val="0"/>
          <w:numId w:val="2"/>
        </w:numPr>
        <w:adjustRightInd w:val="0"/>
        <w:snapToGrid w:val="0"/>
        <w:spacing w:before="0" w:beforeAutospacing="0" w:after="0" w:afterAutospacing="0" w:line="360" w:lineRule="exact"/>
        <w:jc w:val="both"/>
        <w:rPr>
          <w:rFonts w:cs="Arial"/>
        </w:rPr>
      </w:pPr>
      <w:r>
        <w:rPr>
          <w:rFonts w:cs="Arial"/>
        </w:rPr>
        <w:t>建筑结构可靠度设计统一标准GB50068-2001</w:t>
      </w:r>
    </w:p>
    <w:p w14:paraId="5EFA303F">
      <w:pPr>
        <w:pStyle w:val="3"/>
        <w:numPr>
          <w:ilvl w:val="0"/>
          <w:numId w:val="2"/>
        </w:numPr>
        <w:adjustRightInd w:val="0"/>
        <w:snapToGrid w:val="0"/>
        <w:spacing w:before="0" w:beforeAutospacing="0" w:after="0" w:afterAutospacing="0" w:line="360" w:lineRule="exact"/>
        <w:jc w:val="both"/>
        <w:rPr>
          <w:rFonts w:cs="Arial"/>
        </w:rPr>
      </w:pPr>
      <w:r>
        <w:rPr>
          <w:rFonts w:cs="Arial"/>
        </w:rPr>
        <w:t>建筑结构载荷规范GB50009-2001</w:t>
      </w:r>
    </w:p>
    <w:p w14:paraId="57B58C93">
      <w:pPr>
        <w:pStyle w:val="3"/>
        <w:numPr>
          <w:ilvl w:val="0"/>
          <w:numId w:val="2"/>
        </w:numPr>
        <w:adjustRightInd w:val="0"/>
        <w:snapToGrid w:val="0"/>
        <w:spacing w:before="0" w:beforeAutospacing="0" w:after="0" w:afterAutospacing="0" w:line="360" w:lineRule="exact"/>
        <w:jc w:val="both"/>
        <w:rPr>
          <w:rFonts w:cs="Arial"/>
        </w:rPr>
      </w:pPr>
      <w:r>
        <w:rPr>
          <w:rFonts w:cs="Arial"/>
        </w:rPr>
        <w:t>建筑抗震设计规范GB50011-2010</w:t>
      </w:r>
    </w:p>
    <w:p w14:paraId="47BA6A5C">
      <w:pPr>
        <w:pStyle w:val="3"/>
        <w:numPr>
          <w:ilvl w:val="0"/>
          <w:numId w:val="2"/>
        </w:numPr>
        <w:adjustRightInd w:val="0"/>
        <w:snapToGrid w:val="0"/>
        <w:spacing w:before="0" w:beforeAutospacing="0" w:after="0" w:afterAutospacing="0" w:line="360" w:lineRule="exact"/>
        <w:jc w:val="both"/>
        <w:rPr>
          <w:rFonts w:cs="Arial"/>
        </w:rPr>
      </w:pPr>
      <w:r>
        <w:rPr>
          <w:rFonts w:cs="Arial"/>
        </w:rPr>
        <w:t>混凝土结构设计规范GB50010-2010</w:t>
      </w:r>
    </w:p>
    <w:p w14:paraId="7D4E455B">
      <w:pPr>
        <w:pStyle w:val="3"/>
        <w:numPr>
          <w:ilvl w:val="0"/>
          <w:numId w:val="2"/>
        </w:numPr>
        <w:adjustRightInd w:val="0"/>
        <w:snapToGrid w:val="0"/>
        <w:spacing w:before="0" w:beforeAutospacing="0" w:after="0" w:afterAutospacing="0" w:line="360" w:lineRule="exact"/>
        <w:jc w:val="both"/>
        <w:rPr>
          <w:rFonts w:cs="Arial"/>
        </w:rPr>
      </w:pPr>
      <w:r>
        <w:rPr>
          <w:rFonts w:cs="Arial"/>
        </w:rPr>
        <w:t>砌体结构设计规范GB50003-2001</w:t>
      </w:r>
    </w:p>
    <w:p w14:paraId="0CB7D5A3">
      <w:pPr>
        <w:pStyle w:val="3"/>
        <w:numPr>
          <w:ilvl w:val="0"/>
          <w:numId w:val="2"/>
        </w:numPr>
        <w:adjustRightInd w:val="0"/>
        <w:snapToGrid w:val="0"/>
        <w:spacing w:before="0" w:beforeAutospacing="0" w:after="0" w:afterAutospacing="0" w:line="360" w:lineRule="exact"/>
        <w:jc w:val="both"/>
        <w:rPr>
          <w:rFonts w:cs="Arial"/>
        </w:rPr>
      </w:pPr>
      <w:r>
        <w:rPr>
          <w:rFonts w:cs="Arial"/>
        </w:rPr>
        <w:t>建筑地基基础设计规范GB50007-2002</w:t>
      </w:r>
    </w:p>
    <w:p w14:paraId="0C3E8E6C">
      <w:pPr>
        <w:pStyle w:val="3"/>
        <w:numPr>
          <w:ilvl w:val="0"/>
          <w:numId w:val="2"/>
        </w:numPr>
        <w:adjustRightInd w:val="0"/>
        <w:snapToGrid w:val="0"/>
        <w:spacing w:before="0" w:beforeAutospacing="0" w:after="0" w:afterAutospacing="0" w:line="360" w:lineRule="exact"/>
        <w:jc w:val="both"/>
        <w:rPr>
          <w:rFonts w:cs="Arial"/>
        </w:rPr>
      </w:pPr>
      <w:r>
        <w:rPr>
          <w:rFonts w:cs="Arial"/>
        </w:rPr>
        <w:t>省标建筑地基基础设计规范DB33/1001-2003</w:t>
      </w:r>
    </w:p>
    <w:p w14:paraId="17D057F5">
      <w:pPr>
        <w:pStyle w:val="3"/>
        <w:numPr>
          <w:ilvl w:val="0"/>
          <w:numId w:val="2"/>
        </w:numPr>
        <w:adjustRightInd w:val="0"/>
        <w:snapToGrid w:val="0"/>
        <w:spacing w:before="0" w:beforeAutospacing="0" w:after="0" w:afterAutospacing="0" w:line="360" w:lineRule="exact"/>
        <w:jc w:val="both"/>
        <w:rPr>
          <w:rFonts w:cs="Arial"/>
        </w:rPr>
      </w:pPr>
      <w:r>
        <w:rPr>
          <w:rFonts w:cs="Arial"/>
        </w:rPr>
        <w:t>建筑基桩检测技术规范JGJ106-2003  J256-2003</w:t>
      </w:r>
    </w:p>
    <w:p w14:paraId="6F343329">
      <w:pPr>
        <w:pStyle w:val="3"/>
        <w:numPr>
          <w:ilvl w:val="0"/>
          <w:numId w:val="2"/>
        </w:numPr>
        <w:adjustRightInd w:val="0"/>
        <w:snapToGrid w:val="0"/>
        <w:spacing w:before="0" w:beforeAutospacing="0" w:after="0" w:afterAutospacing="0" w:line="360" w:lineRule="exact"/>
        <w:jc w:val="both"/>
        <w:rPr>
          <w:rFonts w:cs="Arial"/>
        </w:rPr>
      </w:pPr>
      <w:r>
        <w:rPr>
          <w:rFonts w:cs="Arial"/>
        </w:rPr>
        <w:t>建筑装修工程质量验收规范GB50210-2001</w:t>
      </w:r>
    </w:p>
    <w:p w14:paraId="63783A31">
      <w:pPr>
        <w:pStyle w:val="3"/>
        <w:numPr>
          <w:ilvl w:val="0"/>
          <w:numId w:val="2"/>
        </w:numPr>
        <w:adjustRightInd w:val="0"/>
        <w:snapToGrid w:val="0"/>
        <w:spacing w:before="0" w:beforeAutospacing="0" w:after="0" w:afterAutospacing="0" w:line="360" w:lineRule="exact"/>
        <w:jc w:val="both"/>
        <w:rPr>
          <w:rFonts w:cs="Arial"/>
        </w:rPr>
      </w:pPr>
      <w:r>
        <w:rPr>
          <w:rFonts w:cs="Arial"/>
        </w:rPr>
        <w:t>建筑地面工程施工及验收规范GB50209-95</w:t>
      </w:r>
    </w:p>
    <w:p w14:paraId="7FA052D2">
      <w:pPr>
        <w:pStyle w:val="3"/>
        <w:numPr>
          <w:ilvl w:val="0"/>
          <w:numId w:val="2"/>
        </w:numPr>
        <w:adjustRightInd w:val="0"/>
        <w:snapToGrid w:val="0"/>
        <w:spacing w:before="0" w:beforeAutospacing="0" w:after="0" w:afterAutospacing="0" w:line="360" w:lineRule="exact"/>
        <w:jc w:val="both"/>
        <w:rPr>
          <w:rFonts w:cs="Arial"/>
        </w:rPr>
      </w:pPr>
      <w:r>
        <w:rPr>
          <w:rFonts w:cs="Arial"/>
        </w:rPr>
        <w:t>混凝土结构施工图平面整体表示方法制图规则和构造祥图03G101-1</w:t>
      </w:r>
    </w:p>
    <w:p w14:paraId="5A3D31F3">
      <w:pPr>
        <w:pStyle w:val="3"/>
        <w:numPr>
          <w:ilvl w:val="0"/>
          <w:numId w:val="2"/>
        </w:numPr>
        <w:adjustRightInd w:val="0"/>
        <w:snapToGrid w:val="0"/>
        <w:spacing w:before="0" w:beforeAutospacing="0" w:after="0" w:afterAutospacing="0" w:line="360" w:lineRule="exact"/>
        <w:jc w:val="both"/>
        <w:rPr>
          <w:rFonts w:cs="Arial"/>
        </w:rPr>
      </w:pPr>
      <w:r>
        <w:rPr>
          <w:rFonts w:cs="Arial"/>
        </w:rPr>
        <w:t>低压配电设计规范GB50054-95</w:t>
      </w:r>
    </w:p>
    <w:p w14:paraId="48DE6755">
      <w:pPr>
        <w:pStyle w:val="3"/>
        <w:numPr>
          <w:ilvl w:val="0"/>
          <w:numId w:val="2"/>
        </w:numPr>
        <w:adjustRightInd w:val="0"/>
        <w:snapToGrid w:val="0"/>
        <w:spacing w:before="0" w:beforeAutospacing="0" w:after="0" w:afterAutospacing="0" w:line="360" w:lineRule="exact"/>
        <w:jc w:val="both"/>
        <w:rPr>
          <w:rFonts w:cs="Arial"/>
        </w:rPr>
      </w:pPr>
      <w:r>
        <w:rPr>
          <w:rFonts w:cs="Arial"/>
        </w:rPr>
        <w:t>建筑照明设计标准GB50034-2004</w:t>
      </w:r>
    </w:p>
    <w:p w14:paraId="65D9BC2E">
      <w:pPr>
        <w:pStyle w:val="3"/>
        <w:numPr>
          <w:ilvl w:val="0"/>
          <w:numId w:val="2"/>
        </w:numPr>
        <w:adjustRightInd w:val="0"/>
        <w:snapToGrid w:val="0"/>
        <w:spacing w:before="0" w:beforeAutospacing="0" w:after="0" w:afterAutospacing="0" w:line="360" w:lineRule="exact"/>
        <w:jc w:val="both"/>
        <w:rPr>
          <w:rFonts w:cs="Arial"/>
        </w:rPr>
      </w:pPr>
      <w:r>
        <w:rPr>
          <w:rFonts w:cs="Arial"/>
        </w:rPr>
        <w:t>建筑物防雷设计规范GB50057-94（2000年版）</w:t>
      </w:r>
    </w:p>
    <w:p w14:paraId="652B84C2">
      <w:pPr>
        <w:pStyle w:val="3"/>
        <w:numPr>
          <w:ilvl w:val="0"/>
          <w:numId w:val="2"/>
        </w:numPr>
        <w:adjustRightInd w:val="0"/>
        <w:snapToGrid w:val="0"/>
        <w:spacing w:before="0" w:beforeAutospacing="0" w:after="0" w:afterAutospacing="0" w:line="360" w:lineRule="exact"/>
        <w:jc w:val="both"/>
        <w:rPr>
          <w:rFonts w:cs="Arial"/>
        </w:rPr>
      </w:pPr>
      <w:r>
        <w:rPr>
          <w:rFonts w:cs="Arial"/>
        </w:rPr>
        <w:t>建筑设计防火规范GB50016-2014</w:t>
      </w:r>
    </w:p>
    <w:p w14:paraId="4FB23876">
      <w:pPr>
        <w:pStyle w:val="3"/>
        <w:numPr>
          <w:ilvl w:val="0"/>
          <w:numId w:val="2"/>
        </w:numPr>
        <w:adjustRightInd w:val="0"/>
        <w:snapToGrid w:val="0"/>
        <w:spacing w:before="0" w:beforeAutospacing="0" w:after="0" w:afterAutospacing="0" w:line="360" w:lineRule="exact"/>
        <w:jc w:val="both"/>
        <w:rPr>
          <w:rFonts w:cs="Arial"/>
        </w:rPr>
      </w:pPr>
      <w:r>
        <w:rPr>
          <w:rFonts w:cs="Arial"/>
        </w:rPr>
        <w:t>建筑节能工程施工质量验收规范GB50411-2007</w:t>
      </w:r>
    </w:p>
    <w:p w14:paraId="3DA2E543">
      <w:pPr>
        <w:pStyle w:val="3"/>
        <w:numPr>
          <w:ilvl w:val="0"/>
          <w:numId w:val="2"/>
        </w:numPr>
        <w:adjustRightInd w:val="0"/>
        <w:snapToGrid w:val="0"/>
        <w:spacing w:before="0" w:beforeAutospacing="0" w:after="0" w:afterAutospacing="0" w:line="360" w:lineRule="exact"/>
        <w:jc w:val="both"/>
        <w:rPr>
          <w:rFonts w:cs="Arial"/>
        </w:rPr>
      </w:pPr>
      <w:r>
        <w:rPr>
          <w:rFonts w:cs="Arial"/>
        </w:rPr>
        <w:t>建筑给排水及采暖工程施工质量验收规范GB50242-2002</w:t>
      </w:r>
    </w:p>
    <w:p w14:paraId="563F3328">
      <w:pPr>
        <w:pStyle w:val="3"/>
        <w:numPr>
          <w:ilvl w:val="0"/>
          <w:numId w:val="2"/>
        </w:numPr>
        <w:adjustRightInd w:val="0"/>
        <w:snapToGrid w:val="0"/>
        <w:spacing w:before="0" w:beforeAutospacing="0" w:after="0" w:afterAutospacing="0" w:line="360" w:lineRule="exact"/>
        <w:jc w:val="both"/>
        <w:rPr>
          <w:rFonts w:cs="Arial"/>
        </w:rPr>
      </w:pPr>
      <w:r>
        <w:t>给水排水构筑物工程施工及验收规范GB50141-2008</w:t>
      </w:r>
    </w:p>
    <w:p w14:paraId="12498514">
      <w:pPr>
        <w:pStyle w:val="3"/>
        <w:numPr>
          <w:ilvl w:val="0"/>
          <w:numId w:val="2"/>
        </w:numPr>
        <w:adjustRightInd w:val="0"/>
        <w:snapToGrid w:val="0"/>
        <w:spacing w:before="0" w:beforeAutospacing="0" w:after="0" w:afterAutospacing="0" w:line="360" w:lineRule="exact"/>
        <w:jc w:val="both"/>
        <w:rPr>
          <w:rFonts w:cs="Arial"/>
        </w:rPr>
      </w:pPr>
      <w:r>
        <w:t>给水排水管道工程施工及验收规范GB50268-2008</w:t>
      </w:r>
    </w:p>
    <w:p w14:paraId="611D8DED">
      <w:pPr>
        <w:pStyle w:val="3"/>
        <w:numPr>
          <w:ilvl w:val="0"/>
          <w:numId w:val="2"/>
        </w:numPr>
        <w:adjustRightInd w:val="0"/>
        <w:snapToGrid w:val="0"/>
        <w:spacing w:before="0" w:beforeAutospacing="0" w:after="0" w:afterAutospacing="0" w:line="360" w:lineRule="exact"/>
        <w:jc w:val="both"/>
        <w:rPr>
          <w:rFonts w:cs="Arial"/>
        </w:rPr>
      </w:pPr>
      <w:r>
        <w:rPr>
          <w:rFonts w:cs="Arial"/>
        </w:rPr>
        <w:t>自动喷水灭火系统施工及验收规范GB50261-96（2003修订版）</w:t>
      </w:r>
    </w:p>
    <w:p w14:paraId="64034131">
      <w:pPr>
        <w:pStyle w:val="3"/>
        <w:numPr>
          <w:ilvl w:val="0"/>
          <w:numId w:val="2"/>
        </w:numPr>
        <w:adjustRightInd w:val="0"/>
        <w:snapToGrid w:val="0"/>
        <w:spacing w:before="0" w:beforeAutospacing="0" w:after="0" w:afterAutospacing="0" w:line="360" w:lineRule="exact"/>
        <w:jc w:val="both"/>
        <w:rPr>
          <w:rFonts w:cs="Arial"/>
        </w:rPr>
      </w:pPr>
      <w:r>
        <w:rPr>
          <w:rFonts w:cs="Arial"/>
        </w:rPr>
        <w:t>国家、地方、行业现行的建设工程其他规范和标准；</w:t>
      </w:r>
    </w:p>
    <w:p w14:paraId="1471D840">
      <w:pPr>
        <w:numPr>
          <w:ilvl w:val="0"/>
          <w:numId w:val="2"/>
        </w:numPr>
        <w:spacing w:line="360" w:lineRule="exact"/>
        <w:rPr>
          <w:rFonts w:ascii="宋体" w:hAnsi="宋体" w:cs="Arial"/>
          <w:color w:val="000000"/>
          <w:sz w:val="24"/>
        </w:rPr>
      </w:pPr>
      <w:r>
        <w:rPr>
          <w:rFonts w:ascii="宋体" w:hAnsi="宋体" w:cs="Arial"/>
          <w:color w:val="000000"/>
          <w:sz w:val="24"/>
        </w:rPr>
        <w:t>国家、地方、行业现行的有关材料、设备和规范和标准；</w:t>
      </w:r>
    </w:p>
    <w:p w14:paraId="1D399F4C">
      <w:pPr>
        <w:numPr>
          <w:ilvl w:val="0"/>
          <w:numId w:val="2"/>
        </w:numPr>
        <w:spacing w:line="360" w:lineRule="exact"/>
        <w:rPr>
          <w:rFonts w:ascii="宋体" w:hAnsi="宋体" w:cs="Arial"/>
          <w:color w:val="000000"/>
          <w:sz w:val="24"/>
        </w:rPr>
      </w:pPr>
      <w:r>
        <w:rPr>
          <w:rFonts w:ascii="宋体" w:hAnsi="宋体" w:cs="Arial"/>
          <w:color w:val="000000"/>
          <w:sz w:val="24"/>
        </w:rPr>
        <w:t>施工图纸及有关会议纪要；</w:t>
      </w:r>
    </w:p>
    <w:p w14:paraId="47DEC21B">
      <w:pPr>
        <w:pStyle w:val="2"/>
        <w:numPr>
          <w:ilvl w:val="0"/>
          <w:numId w:val="2"/>
        </w:numPr>
        <w:spacing w:before="50"/>
        <w:rPr>
          <w:rFonts w:hAnsi="宋体"/>
          <w:sz w:val="24"/>
          <w:szCs w:val="24"/>
        </w:rPr>
      </w:pPr>
      <w:r>
        <w:rPr>
          <w:rFonts w:hAnsi="宋体"/>
          <w:sz w:val="24"/>
          <w:szCs w:val="24"/>
        </w:rPr>
        <w:t>工程建设标准强制性条文等规范和标准</w:t>
      </w:r>
    </w:p>
    <w:p w14:paraId="56F7AF67">
      <w:pPr>
        <w:pStyle w:val="2"/>
        <w:numPr>
          <w:ilvl w:val="0"/>
          <w:numId w:val="2"/>
        </w:numPr>
        <w:spacing w:before="50"/>
        <w:rPr>
          <w:rFonts w:hint="eastAsia" w:hAnsi="宋体"/>
          <w:sz w:val="24"/>
          <w:szCs w:val="24"/>
        </w:rPr>
      </w:pPr>
      <w:r>
        <w:rPr>
          <w:rFonts w:hint="eastAsia" w:hAnsi="宋体"/>
          <w:sz w:val="24"/>
          <w:szCs w:val="24"/>
        </w:rPr>
        <w:t>其他与本工程相关的行业规范、标准等。</w:t>
      </w:r>
    </w:p>
    <w:p w14:paraId="4F90355E">
      <w:pPr>
        <w:pStyle w:val="2"/>
        <w:numPr>
          <w:ilvl w:val="0"/>
          <w:numId w:val="2"/>
        </w:numPr>
        <w:spacing w:before="50"/>
        <w:rPr>
          <w:rFonts w:hint="eastAsia" w:hAnsi="宋体"/>
          <w:sz w:val="24"/>
          <w:szCs w:val="24"/>
        </w:rPr>
      </w:pPr>
      <w:r>
        <w:rPr>
          <w:rFonts w:hint="eastAsia" w:hAnsi="宋体"/>
          <w:sz w:val="24"/>
          <w:szCs w:val="24"/>
        </w:rPr>
        <w:t>如现行有关规范有变更的，以最新的为准。</w:t>
      </w:r>
    </w:p>
    <w:p w14:paraId="269A66EC">
      <w:pPr>
        <w:spacing w:line="400" w:lineRule="exact"/>
        <w:ind w:right="-2" w:rightChars="-1" w:firstLine="480" w:firstLineChars="200"/>
        <w:rPr>
          <w:rFonts w:hint="eastAsia" w:ascii="宋体" w:hAnsi="宋体"/>
          <w:sz w:val="24"/>
        </w:rPr>
      </w:pPr>
      <w:r>
        <w:rPr>
          <w:rFonts w:hint="eastAsia" w:ascii="宋体" w:hAnsi="宋体" w:cs="Arial"/>
          <w:bCs/>
          <w:color w:val="000000"/>
          <w:sz w:val="24"/>
        </w:rPr>
        <w:t>3、</w:t>
      </w:r>
      <w:r>
        <w:rPr>
          <w:rFonts w:ascii="宋体" w:hAnsi="宋体" w:cs="Arial"/>
          <w:bCs/>
          <w:color w:val="000000"/>
          <w:sz w:val="24"/>
        </w:rPr>
        <w:t>主要材料设备采用的品牌</w:t>
      </w:r>
      <w:r>
        <w:rPr>
          <w:rFonts w:hint="eastAsia" w:ascii="宋体" w:hAnsi="宋体" w:cs="Arial"/>
          <w:bCs/>
          <w:color w:val="000000"/>
          <w:sz w:val="24"/>
        </w:rPr>
        <w:t>参考工程量清单推荐表或</w:t>
      </w:r>
      <w:r>
        <w:rPr>
          <w:rFonts w:ascii="宋体" w:hAnsi="宋体" w:cs="Arial"/>
          <w:bCs/>
          <w:color w:val="000000"/>
          <w:sz w:val="24"/>
        </w:rPr>
        <w:t>要求中上档次，建议一般应在浙江省信息价或温州工程造</w:t>
      </w:r>
      <w:r>
        <w:rPr>
          <w:rFonts w:hint="eastAsia" w:ascii="宋体" w:hAnsi="宋体" w:cs="Arial"/>
          <w:bCs/>
          <w:color w:val="000000"/>
          <w:sz w:val="24"/>
        </w:rPr>
        <w:t>价信息。</w:t>
      </w:r>
    </w:p>
    <w:p w14:paraId="37508113">
      <w:pPr>
        <w:spacing w:line="400" w:lineRule="exact"/>
        <w:jc w:val="center"/>
        <w:rPr>
          <w:rFonts w:hint="eastAsia" w:ascii="宋体" w:hAnsi="宋体"/>
          <w:b/>
          <w:color w:val="000000"/>
          <w:sz w:val="28"/>
          <w:szCs w:val="28"/>
        </w:rPr>
      </w:pPr>
    </w:p>
    <w:p w14:paraId="2AB3694B">
      <w:pPr>
        <w:spacing w:line="400" w:lineRule="exact"/>
        <w:jc w:val="center"/>
        <w:rPr>
          <w:rFonts w:hint="eastAsia" w:ascii="宋体" w:hAnsi="宋体"/>
          <w:b/>
          <w:color w:val="000000"/>
          <w:sz w:val="28"/>
          <w:szCs w:val="28"/>
        </w:rPr>
      </w:pPr>
      <w:r>
        <w:rPr>
          <w:rFonts w:hint="eastAsia" w:ascii="宋体" w:hAnsi="宋体"/>
          <w:b/>
          <w:color w:val="000000"/>
          <w:sz w:val="28"/>
          <w:szCs w:val="28"/>
        </w:rPr>
        <w:t>三、工程量清单报价</w:t>
      </w:r>
    </w:p>
    <w:p w14:paraId="3DC783A7">
      <w:pPr>
        <w:rPr>
          <w:rFonts w:ascii="宋体" w:hAnsi="宋体"/>
          <w:b/>
          <w:sz w:val="24"/>
        </w:rPr>
      </w:pPr>
      <w:r>
        <w:rPr>
          <w:rFonts w:ascii="宋体" w:hAnsi="宋体"/>
          <w:b/>
          <w:sz w:val="24"/>
        </w:rPr>
        <w:t>1.</w:t>
      </w:r>
      <w:r>
        <w:rPr>
          <w:rFonts w:hint="eastAsia" w:ascii="宋体" w:hAnsi="宋体"/>
          <w:b/>
          <w:sz w:val="24"/>
        </w:rPr>
        <w:t>工程量清单说明</w:t>
      </w:r>
    </w:p>
    <w:p w14:paraId="5390F167">
      <w:pPr>
        <w:spacing w:line="360" w:lineRule="exact"/>
        <w:ind w:firstLine="420"/>
        <w:rPr>
          <w:rFonts w:ascii="宋体" w:hAnsi="宋体"/>
          <w:sz w:val="24"/>
        </w:rPr>
      </w:pPr>
      <w:r>
        <w:rPr>
          <w:rFonts w:ascii="宋体" w:hAnsi="宋体"/>
          <w:sz w:val="24"/>
        </w:rPr>
        <w:t>1.1</w:t>
      </w:r>
      <w:r>
        <w:rPr>
          <w:rFonts w:hint="eastAsia" w:ascii="宋体" w:hAnsi="宋体"/>
          <w:sz w:val="24"/>
        </w:rPr>
        <w:t>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577516C0">
      <w:pPr>
        <w:spacing w:line="360" w:lineRule="exact"/>
        <w:ind w:firstLine="420"/>
        <w:rPr>
          <w:rFonts w:ascii="宋体" w:hAnsi="宋体"/>
          <w:sz w:val="24"/>
        </w:rPr>
      </w:pPr>
      <w:r>
        <w:rPr>
          <w:rFonts w:ascii="宋体" w:hAnsi="宋体"/>
          <w:sz w:val="24"/>
        </w:rPr>
        <w:t>1.2</w:t>
      </w:r>
      <w:r>
        <w:rPr>
          <w:rFonts w:hint="eastAsia" w:ascii="宋体" w:hAnsi="宋体"/>
          <w:sz w:val="24"/>
        </w:rPr>
        <w:t>本工程量清单应与招标文件中的投标人须知、通用合同条款、专用合同条款、技术标准和要求及图纸、地质勘察资料等一起阅读和理解。</w:t>
      </w:r>
    </w:p>
    <w:p w14:paraId="769435B9">
      <w:pPr>
        <w:spacing w:line="360" w:lineRule="exact"/>
        <w:ind w:firstLine="420"/>
        <w:rPr>
          <w:rFonts w:ascii="宋体" w:hAnsi="宋体"/>
          <w:color w:val="000000"/>
          <w:sz w:val="24"/>
        </w:rPr>
      </w:pPr>
      <w:r>
        <w:rPr>
          <w:rFonts w:ascii="宋体" w:hAnsi="宋体"/>
          <w:sz w:val="24"/>
        </w:rPr>
        <w:t>1.3</w:t>
      </w:r>
      <w:r>
        <w:rPr>
          <w:rFonts w:hint="eastAsia" w:ascii="宋体" w:hAnsi="宋体"/>
          <w:sz w:val="24"/>
        </w:rPr>
        <w:t>本工程量清单仅是投标报价的共同基础。实际工程计量、结算价格的确定以及价款支付应遵循合同</w:t>
      </w:r>
      <w:r>
        <w:rPr>
          <w:rFonts w:hint="eastAsia" w:ascii="宋体" w:hAnsi="宋体"/>
          <w:color w:val="000000"/>
          <w:sz w:val="24"/>
        </w:rPr>
        <w:t>条款（包括通用条款和专用条款）、技术标准和要求以及本章的有关约定。</w:t>
      </w:r>
    </w:p>
    <w:p w14:paraId="3A1EDE4B">
      <w:pPr>
        <w:spacing w:line="360" w:lineRule="exact"/>
        <w:ind w:firstLine="462"/>
        <w:rPr>
          <w:rFonts w:ascii="宋体" w:hAnsi="宋体"/>
          <w:color w:val="000000"/>
          <w:sz w:val="24"/>
        </w:rPr>
      </w:pPr>
      <w:r>
        <w:rPr>
          <w:rFonts w:ascii="宋体" w:hAnsi="宋体"/>
          <w:color w:val="000000"/>
          <w:sz w:val="24"/>
        </w:rPr>
        <w:t>1.4</w:t>
      </w:r>
      <w:r>
        <w:rPr>
          <w:rFonts w:hint="eastAsia" w:ascii="宋体" w:hAnsi="宋体"/>
          <w:color w:val="000000"/>
          <w:sz w:val="24"/>
        </w:rPr>
        <w:t>浙江省建设工程计价规则（</w:t>
      </w:r>
      <w:r>
        <w:rPr>
          <w:rFonts w:ascii="宋体" w:hAnsi="宋体"/>
          <w:color w:val="000000"/>
          <w:sz w:val="24"/>
        </w:rPr>
        <w:t>201</w:t>
      </w:r>
      <w:r>
        <w:rPr>
          <w:rFonts w:hint="eastAsia" w:ascii="宋体" w:hAnsi="宋体"/>
          <w:color w:val="000000"/>
          <w:sz w:val="24"/>
        </w:rPr>
        <w:t>8版）是本工程计价的依据，除本招标文件有特别约定外均按计价规则（</w:t>
      </w:r>
      <w:r>
        <w:rPr>
          <w:rFonts w:ascii="宋体" w:hAnsi="宋体"/>
          <w:color w:val="000000"/>
          <w:sz w:val="24"/>
        </w:rPr>
        <w:t>201</w:t>
      </w:r>
      <w:r>
        <w:rPr>
          <w:rFonts w:hint="eastAsia" w:ascii="宋体" w:hAnsi="宋体"/>
          <w:color w:val="000000"/>
          <w:sz w:val="24"/>
        </w:rPr>
        <w:t>8版）规定执行。执行浙江省住房和城乡建设厅《关于增值税调整后我省建设工程计价依据增值税税率及有关计价调整的通知》</w:t>
      </w:r>
      <w:r>
        <w:rPr>
          <w:rFonts w:ascii="宋体" w:hAnsi="宋体"/>
          <w:color w:val="000000"/>
          <w:sz w:val="24"/>
        </w:rPr>
        <w:t>（</w:t>
      </w:r>
      <w:r>
        <w:rPr>
          <w:rFonts w:hint="eastAsia" w:ascii="宋体" w:hAnsi="宋体"/>
          <w:color w:val="000000"/>
          <w:sz w:val="24"/>
        </w:rPr>
        <w:t>浙建建发〔2019〕</w:t>
      </w:r>
      <w:r>
        <w:rPr>
          <w:rFonts w:ascii="宋体" w:hAnsi="宋体"/>
          <w:color w:val="000000"/>
          <w:sz w:val="24"/>
        </w:rPr>
        <w:t>9</w:t>
      </w:r>
      <w:r>
        <w:rPr>
          <w:rFonts w:hint="eastAsia" w:ascii="宋体" w:hAnsi="宋体"/>
          <w:color w:val="000000"/>
          <w:sz w:val="24"/>
        </w:rPr>
        <w:t>2</w:t>
      </w:r>
      <w:r>
        <w:rPr>
          <w:rFonts w:ascii="宋体" w:hAnsi="宋体"/>
          <w:color w:val="000000"/>
          <w:sz w:val="24"/>
        </w:rPr>
        <w:t>号）</w:t>
      </w:r>
    </w:p>
    <w:p w14:paraId="78C1027A">
      <w:pPr>
        <w:rPr>
          <w:rFonts w:ascii="宋体" w:hAnsi="宋体"/>
          <w:b/>
          <w:color w:val="000000"/>
          <w:sz w:val="24"/>
        </w:rPr>
      </w:pPr>
      <w:r>
        <w:rPr>
          <w:rFonts w:ascii="宋体" w:hAnsi="宋体"/>
          <w:b/>
          <w:color w:val="000000"/>
          <w:sz w:val="24"/>
        </w:rPr>
        <w:t>2.</w:t>
      </w:r>
      <w:r>
        <w:rPr>
          <w:rFonts w:hint="eastAsia" w:ascii="宋体" w:hAnsi="宋体"/>
          <w:b/>
          <w:color w:val="000000"/>
          <w:sz w:val="24"/>
        </w:rPr>
        <w:t>投标报价说明</w:t>
      </w:r>
    </w:p>
    <w:p w14:paraId="0B9C8351">
      <w:pPr>
        <w:spacing w:line="360" w:lineRule="exact"/>
        <w:ind w:firstLine="539"/>
        <w:rPr>
          <w:rFonts w:ascii="宋体" w:hAnsi="宋体"/>
          <w:color w:val="000000"/>
          <w:sz w:val="24"/>
        </w:rPr>
      </w:pPr>
      <w:r>
        <w:rPr>
          <w:rFonts w:ascii="宋体" w:hAnsi="宋体"/>
          <w:color w:val="000000"/>
          <w:sz w:val="24"/>
        </w:rPr>
        <w:t>2.1</w:t>
      </w:r>
      <w:r>
        <w:rPr>
          <w:rFonts w:hint="eastAsia" w:ascii="宋体" w:hAnsi="宋体"/>
          <w:color w:val="000000"/>
          <w:sz w:val="24"/>
        </w:rPr>
        <w:t>投标报价应根据招标文件中的有关计价要求、招标单位提供的全套施工图纸、技术资料、工程量清单，结合本工程实际情况和自身综合实力，依据企业定额（或计价依据）和市场价格自主报价。</w:t>
      </w:r>
    </w:p>
    <w:p w14:paraId="42F32C58">
      <w:pPr>
        <w:spacing w:line="360" w:lineRule="exact"/>
        <w:ind w:firstLine="539"/>
        <w:rPr>
          <w:rFonts w:ascii="宋体" w:hAnsi="宋体"/>
          <w:color w:val="000000"/>
          <w:sz w:val="24"/>
        </w:rPr>
      </w:pPr>
      <w:r>
        <w:rPr>
          <w:rFonts w:ascii="宋体" w:hAnsi="宋体"/>
          <w:color w:val="000000"/>
          <w:sz w:val="24"/>
        </w:rPr>
        <w:t>2.2</w:t>
      </w:r>
      <w:r>
        <w:rPr>
          <w:rFonts w:hint="eastAsia" w:ascii="宋体" w:hAnsi="宋体"/>
          <w:color w:val="000000"/>
          <w:sz w:val="24"/>
        </w:rPr>
        <w:t>工程量清单中的每一子目须填入单价或价格，且只允许有一个报价。</w:t>
      </w:r>
    </w:p>
    <w:p w14:paraId="705CE68C">
      <w:pPr>
        <w:spacing w:line="360" w:lineRule="exact"/>
        <w:ind w:firstLine="539"/>
        <w:rPr>
          <w:rFonts w:ascii="宋体" w:hAnsi="宋体"/>
          <w:color w:val="000000"/>
          <w:sz w:val="24"/>
        </w:rPr>
      </w:pPr>
      <w:r>
        <w:rPr>
          <w:rFonts w:ascii="宋体" w:hAnsi="宋体"/>
          <w:color w:val="000000"/>
          <w:sz w:val="24"/>
        </w:rPr>
        <w:t>2.3</w:t>
      </w:r>
      <w:r>
        <w:rPr>
          <w:rFonts w:hint="eastAsia" w:ascii="宋体" w:hAnsi="宋体"/>
          <w:color w:val="000000"/>
          <w:sz w:val="24"/>
        </w:rPr>
        <w:t>工程量清单中投标人没有填入单价或价格的子目，其费用视为己分摊在工程量清单中其他相关子目的单价或价格之中。</w:t>
      </w:r>
    </w:p>
    <w:p w14:paraId="78F2DAA8">
      <w:pPr>
        <w:spacing w:line="360" w:lineRule="exact"/>
        <w:ind w:firstLine="542"/>
        <w:rPr>
          <w:rFonts w:ascii="宋体" w:hAnsi="宋体"/>
          <w:b/>
          <w:color w:val="000000"/>
          <w:sz w:val="24"/>
        </w:rPr>
      </w:pPr>
      <w:r>
        <w:rPr>
          <w:rFonts w:ascii="宋体" w:hAnsi="宋体"/>
          <w:b/>
          <w:color w:val="000000"/>
          <w:sz w:val="24"/>
        </w:rPr>
        <w:t>2.4</w:t>
      </w:r>
      <w:r>
        <w:rPr>
          <w:rFonts w:hint="eastAsia" w:ascii="宋体" w:hAnsi="宋体"/>
          <w:b/>
          <w:color w:val="000000"/>
          <w:sz w:val="24"/>
        </w:rPr>
        <w:t>分部分项工程项目按下列要求报价：</w:t>
      </w:r>
    </w:p>
    <w:p w14:paraId="783E0600">
      <w:pPr>
        <w:spacing w:line="360" w:lineRule="exact"/>
        <w:ind w:firstLine="539"/>
        <w:rPr>
          <w:rFonts w:ascii="宋体" w:hAnsi="宋体"/>
          <w:sz w:val="24"/>
        </w:rPr>
      </w:pPr>
      <w:r>
        <w:rPr>
          <w:rFonts w:ascii="宋体" w:hAnsi="宋体"/>
          <w:color w:val="000000"/>
          <w:sz w:val="24"/>
        </w:rPr>
        <w:t>2.4.1</w:t>
      </w:r>
      <w:r>
        <w:rPr>
          <w:rFonts w:hint="eastAsia" w:ascii="宋体" w:hAnsi="宋体"/>
          <w:color w:val="000000"/>
          <w:sz w:val="24"/>
        </w:rPr>
        <w:t>分部分项工程量清单计价应依据计价规则中关</w:t>
      </w:r>
      <w:r>
        <w:rPr>
          <w:rFonts w:hint="eastAsia" w:ascii="宋体" w:hAnsi="宋体"/>
          <w:sz w:val="24"/>
        </w:rPr>
        <w:t>于综合单价的组成内容确定报价。</w:t>
      </w:r>
    </w:p>
    <w:p w14:paraId="27ABFA64">
      <w:pPr>
        <w:spacing w:line="360" w:lineRule="exact"/>
        <w:ind w:firstLine="539"/>
        <w:rPr>
          <w:rFonts w:ascii="宋体" w:hAnsi="宋体"/>
          <w:sz w:val="24"/>
        </w:rPr>
      </w:pPr>
      <w:r>
        <w:rPr>
          <w:rFonts w:ascii="宋体" w:hAnsi="宋体"/>
          <w:sz w:val="24"/>
        </w:rPr>
        <w:t>2.4.2</w:t>
      </w:r>
      <w:r>
        <w:rPr>
          <w:rFonts w:hint="eastAsia" w:ascii="宋体" w:hAnsi="宋体"/>
          <w:sz w:val="24"/>
        </w:rPr>
        <w:t>投标人在投标文件中应明确所选用主要材料、设备的品牌、厂家以及质量等级。投标人投标的产品必须满足招标设计要求，其性能、主要技术指标参照或不低于工程量清单及招标文件中提供的技术标准和要求，招标人如有提供参考品牌的，投标人投标的产品品牌档次应参照或相当于工程量清单中参考品牌的档次，否则中标后招标人有权更换产品，并保持综合单价不变。</w:t>
      </w:r>
    </w:p>
    <w:p w14:paraId="4C835D79">
      <w:pPr>
        <w:spacing w:line="360" w:lineRule="exact"/>
        <w:ind w:firstLine="539"/>
        <w:rPr>
          <w:rFonts w:ascii="宋体" w:hAnsi="宋体"/>
          <w:sz w:val="24"/>
        </w:rPr>
      </w:pPr>
      <w:r>
        <w:rPr>
          <w:rFonts w:ascii="宋体" w:hAnsi="宋体"/>
          <w:sz w:val="24"/>
        </w:rPr>
        <w:t>2.4.3</w:t>
      </w:r>
      <w:r>
        <w:rPr>
          <w:rFonts w:hint="eastAsia" w:ascii="宋体" w:hAnsi="宋体"/>
          <w:sz w:val="24"/>
        </w:rPr>
        <w:t>在我市市区范围内凡具备预拌混凝土运输车及输送泵车通行条件的建筑工程（含桩基工程），必须使用预拌混凝土，严禁在施工现场搅拌混凝土。</w:t>
      </w:r>
    </w:p>
    <w:p w14:paraId="6730E669">
      <w:pPr>
        <w:spacing w:line="360" w:lineRule="exact"/>
        <w:ind w:firstLine="539"/>
        <w:rPr>
          <w:rFonts w:ascii="宋体" w:hAnsi="宋体"/>
          <w:sz w:val="24"/>
        </w:rPr>
      </w:pPr>
      <w:r>
        <w:rPr>
          <w:rFonts w:ascii="宋体" w:hAnsi="宋体"/>
          <w:sz w:val="24"/>
        </w:rPr>
        <w:t>2.4.4</w:t>
      </w:r>
      <w:r>
        <w:rPr>
          <w:rFonts w:hint="eastAsia" w:ascii="宋体" w:hAnsi="宋体"/>
          <w:sz w:val="24"/>
        </w:rPr>
        <w:t>在我市市区范围内禁止现场搅拌混凝土、砂浆的建设工程，实行招投标的，建设单位应当将使用散装水泥、预拌混凝土和预拌砂浆的要求列入招标文件，投标人应将有关费用列入投标文件。</w:t>
      </w:r>
    </w:p>
    <w:p w14:paraId="2CA5DBEE">
      <w:pPr>
        <w:spacing w:line="360" w:lineRule="exact"/>
        <w:ind w:firstLine="542"/>
        <w:rPr>
          <w:rFonts w:ascii="宋体" w:hAnsi="宋体"/>
          <w:b/>
          <w:sz w:val="24"/>
        </w:rPr>
      </w:pPr>
      <w:r>
        <w:rPr>
          <w:rFonts w:ascii="宋体" w:hAnsi="宋体"/>
          <w:b/>
          <w:sz w:val="24"/>
        </w:rPr>
        <w:t>2.5.</w:t>
      </w:r>
      <w:r>
        <w:rPr>
          <w:rFonts w:hint="eastAsia" w:ascii="宋体" w:hAnsi="宋体"/>
          <w:b/>
          <w:sz w:val="24"/>
        </w:rPr>
        <w:t>措施项目按下列要求报价：</w:t>
      </w:r>
    </w:p>
    <w:p w14:paraId="27B73147">
      <w:pPr>
        <w:spacing w:line="360" w:lineRule="exact"/>
        <w:ind w:firstLine="539"/>
        <w:rPr>
          <w:rFonts w:ascii="宋体" w:hAnsi="宋体"/>
          <w:sz w:val="24"/>
        </w:rPr>
      </w:pPr>
      <w:r>
        <w:rPr>
          <w:rFonts w:ascii="宋体" w:hAnsi="宋体"/>
          <w:sz w:val="24"/>
        </w:rPr>
        <w:t>2.5.1</w:t>
      </w:r>
      <w:r>
        <w:rPr>
          <w:rFonts w:hint="eastAsia" w:ascii="宋体" w:hAnsi="宋体"/>
          <w:sz w:val="24"/>
        </w:rPr>
        <w:t>投标人根据工程量清单中所列的措施项目清单自主报价。以分部分项工程量清单方式计价的，采用综合单价；以费率方式计价的</w:t>
      </w:r>
      <w:r>
        <w:rPr>
          <w:rFonts w:hint="eastAsia" w:ascii="宋体" w:hAnsi="宋体"/>
          <w:color w:val="000000"/>
          <w:sz w:val="24"/>
        </w:rPr>
        <w:t>，除另有规定外可参照《浙江省建设工程计价规则（</w:t>
      </w:r>
      <w:r>
        <w:rPr>
          <w:rFonts w:ascii="宋体" w:hAnsi="宋体"/>
          <w:color w:val="000000"/>
          <w:sz w:val="24"/>
        </w:rPr>
        <w:t>201</w:t>
      </w:r>
      <w:r>
        <w:rPr>
          <w:rFonts w:hint="eastAsia" w:ascii="宋体" w:hAnsi="宋体"/>
          <w:color w:val="000000"/>
          <w:sz w:val="24"/>
        </w:rPr>
        <w:t>8版）》计取。投标人认为清单所列措施项</w:t>
      </w:r>
      <w:r>
        <w:rPr>
          <w:rFonts w:hint="eastAsia" w:ascii="宋体" w:hAnsi="宋体"/>
          <w:sz w:val="24"/>
        </w:rPr>
        <w:t>目中不发生费用的，应以</w:t>
      </w:r>
      <w:r>
        <w:rPr>
          <w:rFonts w:ascii="宋体" w:hAnsi="宋体"/>
          <w:sz w:val="24"/>
        </w:rPr>
        <w:t>“0”</w:t>
      </w:r>
      <w:r>
        <w:rPr>
          <w:rFonts w:hint="eastAsia" w:ascii="宋体" w:hAnsi="宋体"/>
          <w:sz w:val="24"/>
        </w:rPr>
        <w:t>计价，不得删除。</w:t>
      </w:r>
    </w:p>
    <w:p w14:paraId="7326902D">
      <w:pPr>
        <w:spacing w:line="360" w:lineRule="exact"/>
        <w:ind w:firstLine="539"/>
        <w:rPr>
          <w:rFonts w:ascii="宋体" w:hAnsi="宋体"/>
          <w:sz w:val="24"/>
        </w:rPr>
      </w:pPr>
      <w:r>
        <w:rPr>
          <w:rFonts w:ascii="宋体" w:hAnsi="宋体"/>
          <w:sz w:val="24"/>
        </w:rPr>
        <w:t>2.5.2</w:t>
      </w:r>
      <w:r>
        <w:rPr>
          <w:rFonts w:hint="eastAsia" w:ascii="宋体" w:hAnsi="宋体"/>
          <w:sz w:val="24"/>
        </w:rPr>
        <w:t>本工程招标工期见投标人须知前附表，清单中的提前竣工增加费结合本工程实际和自身情况报价。</w:t>
      </w:r>
    </w:p>
    <w:p w14:paraId="4A2ED933">
      <w:pPr>
        <w:spacing w:line="360" w:lineRule="exact"/>
        <w:ind w:firstLine="539"/>
        <w:rPr>
          <w:rFonts w:ascii="宋体" w:hAnsi="宋体"/>
          <w:sz w:val="24"/>
        </w:rPr>
      </w:pPr>
      <w:r>
        <w:rPr>
          <w:rFonts w:ascii="宋体" w:hAnsi="宋体"/>
          <w:sz w:val="24"/>
        </w:rPr>
        <w:t>2.5.3</w:t>
      </w:r>
      <w:r>
        <w:rPr>
          <w:rFonts w:hint="eastAsia" w:ascii="宋体" w:hAnsi="宋体"/>
          <w:sz w:val="24"/>
        </w:rPr>
        <w:t>其他施工措施费：见工程量清单。</w:t>
      </w:r>
    </w:p>
    <w:p w14:paraId="7D3AA30C">
      <w:pPr>
        <w:spacing w:line="360" w:lineRule="exact"/>
        <w:ind w:firstLine="542"/>
        <w:rPr>
          <w:rFonts w:ascii="宋体" w:hAnsi="宋体"/>
          <w:b/>
          <w:sz w:val="24"/>
        </w:rPr>
      </w:pPr>
      <w:r>
        <w:rPr>
          <w:rFonts w:ascii="宋体" w:hAnsi="宋体"/>
          <w:b/>
          <w:sz w:val="24"/>
        </w:rPr>
        <w:t>2.6</w:t>
      </w:r>
      <w:r>
        <w:rPr>
          <w:rFonts w:hint="eastAsia" w:ascii="宋体" w:hAnsi="宋体"/>
          <w:b/>
          <w:sz w:val="24"/>
        </w:rPr>
        <w:t>其他项目按下列要求报价：</w:t>
      </w:r>
    </w:p>
    <w:p w14:paraId="5D4E0791">
      <w:pPr>
        <w:spacing w:line="360" w:lineRule="exact"/>
        <w:ind w:firstLine="539"/>
        <w:rPr>
          <w:rFonts w:ascii="宋体" w:hAnsi="宋体"/>
          <w:sz w:val="24"/>
        </w:rPr>
      </w:pPr>
      <w:r>
        <w:rPr>
          <w:rFonts w:ascii="宋体" w:hAnsi="宋体"/>
          <w:sz w:val="24"/>
        </w:rPr>
        <w:t>2.6.1</w:t>
      </w:r>
      <w:r>
        <w:rPr>
          <w:rFonts w:hint="eastAsia" w:ascii="宋体" w:hAnsi="宋体"/>
          <w:sz w:val="24"/>
        </w:rPr>
        <w:t>暂列金额：按工程量清单规定的金额计算，不得变动。</w:t>
      </w:r>
    </w:p>
    <w:p w14:paraId="2B9F2636">
      <w:pPr>
        <w:spacing w:line="360" w:lineRule="exact"/>
        <w:ind w:firstLine="539"/>
        <w:rPr>
          <w:rFonts w:ascii="宋体" w:hAnsi="宋体"/>
          <w:sz w:val="24"/>
        </w:rPr>
      </w:pPr>
      <w:r>
        <w:rPr>
          <w:rFonts w:ascii="宋体" w:hAnsi="宋体"/>
          <w:sz w:val="24"/>
        </w:rPr>
        <w:t>2.6.2</w:t>
      </w:r>
      <w:r>
        <w:rPr>
          <w:rFonts w:hint="eastAsia" w:ascii="宋体" w:hAnsi="宋体"/>
          <w:sz w:val="24"/>
        </w:rPr>
        <w:t>暂估价：按工程量清单规定的金额计算，不得变动。</w:t>
      </w:r>
    </w:p>
    <w:p w14:paraId="23D13AA6">
      <w:pPr>
        <w:spacing w:line="360" w:lineRule="exact"/>
        <w:ind w:firstLine="539"/>
        <w:rPr>
          <w:rFonts w:ascii="宋体" w:hAnsi="宋体"/>
          <w:sz w:val="24"/>
        </w:rPr>
      </w:pPr>
      <w:r>
        <w:rPr>
          <w:rFonts w:ascii="宋体" w:hAnsi="宋体"/>
          <w:sz w:val="24"/>
        </w:rPr>
        <w:t>2.6.3</w:t>
      </w:r>
      <w:r>
        <w:rPr>
          <w:rFonts w:hint="eastAsia" w:ascii="宋体" w:hAnsi="宋体"/>
          <w:sz w:val="24"/>
        </w:rPr>
        <w:t>计日工：由投标人自主确定综合单价计算。</w:t>
      </w:r>
    </w:p>
    <w:p w14:paraId="584E8178">
      <w:pPr>
        <w:spacing w:line="360" w:lineRule="exact"/>
        <w:ind w:firstLine="616" w:firstLineChars="257"/>
        <w:rPr>
          <w:rFonts w:hint="eastAsia" w:ascii="宋体" w:hAnsi="宋体" w:cs="Arial"/>
          <w:sz w:val="24"/>
        </w:rPr>
      </w:pPr>
      <w:r>
        <w:rPr>
          <w:rFonts w:ascii="宋体" w:hAnsi="宋体" w:cs="Arial"/>
          <w:sz w:val="24"/>
        </w:rPr>
        <w:t>2.6.4</w:t>
      </w:r>
      <w:r>
        <w:rPr>
          <w:rFonts w:hint="eastAsia" w:ascii="宋体" w:hAnsi="宋体" w:cs="Arial"/>
          <w:sz w:val="24"/>
        </w:rPr>
        <w:t>总承包服务费：指总承包人为配合协调发包人进行的工程分包自行采购的设备、材料等进行管理、服务以及施工现场管理、竣工资料汇总整理等服务所需的费用。</w:t>
      </w:r>
    </w:p>
    <w:p w14:paraId="16F3C2C4">
      <w:pPr>
        <w:spacing w:line="360" w:lineRule="exact"/>
        <w:ind w:firstLine="539"/>
        <w:rPr>
          <w:rFonts w:ascii="宋体" w:hAnsi="宋体"/>
          <w:sz w:val="24"/>
        </w:rPr>
      </w:pPr>
      <w:r>
        <w:rPr>
          <w:rFonts w:ascii="宋体" w:hAnsi="宋体"/>
          <w:sz w:val="24"/>
        </w:rPr>
        <w:t>2.7</w:t>
      </w:r>
      <w:r>
        <w:rPr>
          <w:rFonts w:hint="eastAsia" w:ascii="宋体" w:hAnsi="宋体"/>
          <w:sz w:val="24"/>
        </w:rPr>
        <w:t>规费、税金按下列要求报价：</w:t>
      </w:r>
    </w:p>
    <w:p w14:paraId="759CE7F4">
      <w:pPr>
        <w:spacing w:line="360" w:lineRule="exact"/>
        <w:ind w:firstLine="539"/>
        <w:rPr>
          <w:rFonts w:ascii="宋体" w:hAnsi="宋体"/>
          <w:color w:val="000000"/>
          <w:sz w:val="24"/>
        </w:rPr>
      </w:pPr>
      <w:r>
        <w:rPr>
          <w:rFonts w:ascii="宋体" w:hAnsi="宋体"/>
          <w:color w:val="000000"/>
          <w:sz w:val="24"/>
        </w:rPr>
        <w:t>2.7.1</w:t>
      </w:r>
      <w:r>
        <w:rPr>
          <w:rFonts w:hint="eastAsia" w:ascii="宋体" w:hAnsi="宋体"/>
          <w:color w:val="000000"/>
          <w:sz w:val="24"/>
        </w:rPr>
        <w:t>规费投标人应根据本企业实际交纳“五险一金”情况自主确定规费费率。税金应根据《浙江省建设工程计价规则（</w:t>
      </w:r>
      <w:r>
        <w:rPr>
          <w:rFonts w:ascii="宋体" w:hAnsi="宋体"/>
          <w:color w:val="000000"/>
          <w:sz w:val="24"/>
        </w:rPr>
        <w:t>201</w:t>
      </w:r>
      <w:r>
        <w:rPr>
          <w:rFonts w:hint="eastAsia" w:ascii="宋体" w:hAnsi="宋体"/>
          <w:color w:val="000000"/>
          <w:sz w:val="24"/>
        </w:rPr>
        <w:t>8版）》依据国家税法规定的计税基数和税率计取，不得作为竞争性费用。</w:t>
      </w:r>
    </w:p>
    <w:p w14:paraId="7ABABD85">
      <w:pPr>
        <w:spacing w:line="360" w:lineRule="exact"/>
        <w:ind w:firstLine="539"/>
        <w:rPr>
          <w:rFonts w:ascii="宋体" w:hAnsi="宋体"/>
          <w:sz w:val="24"/>
        </w:rPr>
      </w:pPr>
      <w:r>
        <w:rPr>
          <w:rFonts w:ascii="宋体" w:hAnsi="宋体"/>
          <w:color w:val="000000"/>
          <w:sz w:val="24"/>
        </w:rPr>
        <w:t>2.7.2</w:t>
      </w:r>
      <w:r>
        <w:rPr>
          <w:rFonts w:hint="eastAsia" w:ascii="宋体" w:hAnsi="宋体"/>
          <w:color w:val="000000"/>
          <w:sz w:val="24"/>
        </w:rPr>
        <w:t>本工程清单中的安全文明施工费投标报价应按《浙江省建设工程计价规则（</w:t>
      </w:r>
      <w:r>
        <w:rPr>
          <w:rFonts w:ascii="宋体" w:hAnsi="宋体"/>
          <w:color w:val="000000"/>
          <w:sz w:val="24"/>
        </w:rPr>
        <w:t>201</w:t>
      </w:r>
      <w:r>
        <w:rPr>
          <w:rFonts w:hint="eastAsia" w:ascii="宋体" w:hAnsi="宋体"/>
          <w:color w:val="000000"/>
          <w:sz w:val="24"/>
        </w:rPr>
        <w:t>8版）》规定计取，投标人的</w:t>
      </w:r>
      <w:r>
        <w:rPr>
          <w:rFonts w:hint="eastAsia" w:ascii="宋体" w:hAnsi="宋体"/>
          <w:sz w:val="24"/>
        </w:rPr>
        <w:t>投标报价中的安全文明施工基本费费率不应低于相应基准费率的90%，否则按文件规定调整并保持投标总价不变。</w:t>
      </w:r>
    </w:p>
    <w:p w14:paraId="16C84344">
      <w:pPr>
        <w:spacing w:line="360" w:lineRule="exact"/>
        <w:ind w:firstLine="616" w:firstLineChars="257"/>
        <w:rPr>
          <w:rFonts w:hint="eastAsia" w:ascii="宋体" w:hAnsi="宋体" w:cs="Arial"/>
          <w:color w:val="000000"/>
          <w:sz w:val="24"/>
        </w:rPr>
      </w:pPr>
      <w:r>
        <w:rPr>
          <w:rFonts w:ascii="宋体" w:hAnsi="宋体"/>
          <w:sz w:val="24"/>
        </w:rPr>
        <w:t>2.</w:t>
      </w:r>
      <w:r>
        <w:rPr>
          <w:rFonts w:hint="eastAsia" w:ascii="宋体" w:hAnsi="宋体"/>
          <w:sz w:val="24"/>
        </w:rPr>
        <w:t>8</w:t>
      </w:r>
      <w:r>
        <w:rPr>
          <w:rFonts w:hint="eastAsia" w:ascii="宋体" w:hAnsi="宋体" w:cs="Arial"/>
          <w:sz w:val="24"/>
        </w:rPr>
        <w:t>本工程不要求创文明标化工地</w:t>
      </w:r>
      <w:r>
        <w:rPr>
          <w:rFonts w:hint="eastAsia" w:ascii="宋体" w:hAnsi="宋体" w:cs="Arial"/>
          <w:color w:val="000000"/>
          <w:sz w:val="24"/>
        </w:rPr>
        <w:t>。</w:t>
      </w:r>
    </w:p>
    <w:p w14:paraId="422029F1">
      <w:pPr>
        <w:rPr>
          <w:rFonts w:ascii="宋体" w:hAnsi="宋体"/>
          <w:b/>
          <w:sz w:val="24"/>
        </w:rPr>
      </w:pPr>
      <w:r>
        <w:rPr>
          <w:rFonts w:ascii="宋体" w:hAnsi="宋体"/>
          <w:b/>
          <w:sz w:val="24"/>
        </w:rPr>
        <w:t>3.</w:t>
      </w:r>
      <w:r>
        <w:rPr>
          <w:rFonts w:hint="eastAsia" w:ascii="宋体" w:hAnsi="宋体"/>
          <w:b/>
          <w:sz w:val="24"/>
        </w:rPr>
        <w:t>评审</w:t>
      </w:r>
      <w:bookmarkStart w:id="1" w:name="_GoBack"/>
      <w:bookmarkEnd w:id="1"/>
    </w:p>
    <w:p w14:paraId="2749F37D">
      <w:pPr>
        <w:spacing w:line="360" w:lineRule="exact"/>
        <w:ind w:firstLine="539"/>
        <w:rPr>
          <w:rFonts w:ascii="宋体" w:hAnsi="宋体"/>
          <w:sz w:val="24"/>
        </w:rPr>
      </w:pPr>
      <w:r>
        <w:rPr>
          <w:rFonts w:hint="eastAsia" w:ascii="宋体" w:hAnsi="宋体"/>
          <w:sz w:val="24"/>
        </w:rPr>
        <w:t>如投标报价中暂列金额、暂估价发生变动，或规费、税金等不按规定计取的，均视为投标报价计算错误，按招标文件有关规定执行。</w:t>
      </w:r>
    </w:p>
    <w:p w14:paraId="700540BA">
      <w:pPr>
        <w:rPr>
          <w:rFonts w:ascii="宋体" w:hAnsi="宋体"/>
          <w:b/>
          <w:sz w:val="24"/>
        </w:rPr>
      </w:pPr>
      <w:r>
        <w:rPr>
          <w:rFonts w:ascii="宋体" w:hAnsi="宋体"/>
          <w:b/>
          <w:sz w:val="24"/>
        </w:rPr>
        <w:t>4.</w:t>
      </w:r>
      <w:r>
        <w:rPr>
          <w:rFonts w:hint="eastAsia" w:ascii="宋体" w:hAnsi="宋体"/>
          <w:b/>
          <w:sz w:val="24"/>
        </w:rPr>
        <w:t>其他</w:t>
      </w:r>
    </w:p>
    <w:p w14:paraId="721C425A">
      <w:pPr>
        <w:spacing w:line="360" w:lineRule="exact"/>
        <w:ind w:firstLine="539"/>
        <w:rPr>
          <w:rFonts w:hint="eastAsia" w:ascii="宋体" w:hAnsi="宋体"/>
          <w:sz w:val="24"/>
        </w:rPr>
      </w:pPr>
      <w:r>
        <w:rPr>
          <w:rFonts w:ascii="宋体" w:hAnsi="宋体"/>
          <w:sz w:val="24"/>
        </w:rPr>
        <w:t>4.1</w:t>
      </w:r>
      <w:r>
        <w:rPr>
          <w:rFonts w:hint="eastAsia" w:ascii="宋体" w:hAnsi="宋体"/>
          <w:sz w:val="24"/>
        </w:rPr>
        <w:t>本工程中标单位在接到中标通知书后5个日历天内，根据商务标的内容，必须向招标人提供光盘中内容打印书面文件一式陆份，作为签订合同、工程施工变更、办理竣工结算的有效依据之一。</w:t>
      </w:r>
    </w:p>
    <w:p w14:paraId="7FDE2714">
      <w:pPr>
        <w:spacing w:line="360" w:lineRule="exact"/>
        <w:ind w:firstLine="616" w:firstLineChars="257"/>
        <w:rPr>
          <w:rFonts w:hint="eastAsia" w:ascii="宋体" w:hAnsi="宋体" w:cs="Arial"/>
          <w:b/>
          <w:color w:val="000000"/>
          <w:sz w:val="24"/>
        </w:rPr>
      </w:pPr>
      <w:r>
        <w:rPr>
          <w:rFonts w:hint="eastAsia" w:ascii="宋体" w:hAnsi="宋体"/>
          <w:sz w:val="24"/>
        </w:rPr>
        <w:t>4.2</w:t>
      </w:r>
      <w:r>
        <w:rPr>
          <w:rFonts w:ascii="宋体" w:hAnsi="宋体"/>
          <w:sz w:val="24"/>
        </w:rPr>
        <w:t>本工程在制作控制价材料价按《关于增值税调整后我省建设工程计价依据增值税税率及有关计价调整的通知》浙建建发（2019）92号文件执行，投标单位在报价时应根据文件执行，相关风险由投标单位自行考虑</w:t>
      </w:r>
    </w:p>
    <w:p w14:paraId="5B01E4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3"/>
    <w:multiLevelType w:val="multilevel"/>
    <w:tmpl w:val="00000023"/>
    <w:lvl w:ilvl="0" w:tentative="0">
      <w:start w:val="1"/>
      <w:numFmt w:val="decimal"/>
      <w:lvlText w:val="%1)"/>
      <w:lvlJc w:val="left"/>
      <w:pPr>
        <w:tabs>
          <w:tab w:val="left" w:pos="987"/>
        </w:tabs>
        <w:ind w:left="0" w:firstLine="56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DDA77AB"/>
    <w:multiLevelType w:val="multilevel"/>
    <w:tmpl w:val="1DDA77AB"/>
    <w:lvl w:ilvl="0" w:tentative="0">
      <w:start w:val="1"/>
      <w:numFmt w:val="decimal"/>
      <w:lvlText w:val="%1."/>
      <w:lvlJc w:val="left"/>
      <w:pPr>
        <w:tabs>
          <w:tab w:val="left" w:pos="900"/>
        </w:tabs>
        <w:ind w:left="900" w:hanging="420"/>
      </w:pPr>
      <w:rPr>
        <w:sz w:val="21"/>
        <w:szCs w:val="21"/>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410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szCs w:val="20"/>
    </w:rPr>
  </w:style>
  <w:style w:type="paragraph" w:styleId="3">
    <w:name w:val="Normal (Web)"/>
    <w:basedOn w:val="1"/>
    <w:uiPriority w:val="99"/>
    <w:pPr>
      <w:widowControl/>
      <w:spacing w:before="100" w:beforeLines="0" w:beforeAutospacing="1" w:after="100" w:afterLines="0" w:afterAutospacing="1"/>
      <w:jc w:val="left"/>
    </w:pPr>
    <w:rPr>
      <w:rFonts w:hint="eastAsia" w:ascii="宋体" w:hAnsi="宋体"/>
      <w:color w:val="00000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2025-09-26T05:31:22Z</dcterms:created>
  <dc:creator>Administrator</dc:creator>
  <cp:lastModifiedBy>浙江首信工程项目管理有限公司</cp:lastModifiedBy>
  <dcterms:modified xsi:type="dcterms:W3CDTF">2025-09-26T05:31:58Z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eyJoZGlkIjoiN2FlZjNhYzFkNjFlYjkwMjc2OThkOTAyZGVjZDhlMjgiLCJ1c2VySWQiOiI0MjIzODc0MTUifQ==</vt:lpwstr>
  </property>
  <property fmtid="{D5CDD505-2E9C-101B-9397-08002B2CF9AE}" pid="4" name="ICV">
    <vt:lpwstr>E181212AB74A40B8A47FF36B239595C9_12</vt:lpwstr>
  </property>
</Properties>
</file>