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F847">
      <w:pPr>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采购需求</w:t>
      </w:r>
    </w:p>
    <w:p w14:paraId="7617BEC3">
      <w:pPr>
        <w:widowControl/>
        <w:spacing w:line="340" w:lineRule="exact"/>
        <w:textAlignment w:val="center"/>
        <w:rPr>
          <w:rFonts w:hint="eastAsia" w:ascii="宋体" w:hAnsi="宋体" w:cs="宋体"/>
          <w:color w:val="auto"/>
          <w:kern w:val="0"/>
          <w:sz w:val="22"/>
          <w:szCs w:val="22"/>
          <w:highlight w:val="none"/>
          <w:lang w:bidi="ar"/>
        </w:rPr>
      </w:pPr>
      <w:bookmarkStart w:id="0" w:name="_Toc479839540"/>
    </w:p>
    <w:p w14:paraId="5CA1AEE1">
      <w:pPr>
        <w:spacing w:line="360" w:lineRule="exact"/>
        <w:rPr>
          <w:rFonts w:hint="eastAsia" w:ascii="宋体" w:hAnsi="宋体" w:eastAsia="宋体" w:cs="宋体"/>
          <w:b/>
          <w:bCs/>
          <w:color w:val="auto"/>
          <w:sz w:val="22"/>
          <w:highlight w:val="none"/>
          <w:lang w:eastAsia="zh-CN"/>
        </w:rPr>
      </w:pPr>
      <w:r>
        <w:rPr>
          <w:rFonts w:hint="eastAsia" w:ascii="宋体" w:hAnsi="宋体" w:eastAsia="宋体" w:cs="宋体"/>
          <w:b/>
          <w:bCs/>
          <w:color w:val="auto"/>
          <w:sz w:val="22"/>
          <w:highlight w:val="none"/>
        </w:rPr>
        <w:t>一、项目名称：</w:t>
      </w:r>
      <w:r>
        <w:rPr>
          <w:rFonts w:hint="eastAsia" w:ascii="宋体" w:hAnsi="宋体" w:eastAsia="宋体" w:cs="宋体"/>
          <w:b/>
          <w:bCs/>
          <w:color w:val="auto"/>
          <w:sz w:val="22"/>
          <w:highlight w:val="none"/>
          <w:lang w:eastAsia="zh-CN"/>
        </w:rPr>
        <w:t>2025年温州理工学院校车租赁（二期）</w:t>
      </w:r>
    </w:p>
    <w:p w14:paraId="226A3975">
      <w:pPr>
        <w:spacing w:line="360" w:lineRule="exact"/>
        <w:rPr>
          <w:rFonts w:hint="default" w:ascii="宋体" w:hAnsi="宋体" w:eastAsia="宋体" w:cs="宋体"/>
          <w:b/>
          <w:bCs/>
          <w:color w:val="auto"/>
          <w:sz w:val="22"/>
          <w:highlight w:val="none"/>
          <w:lang w:val="en-US" w:eastAsia="zh-CN"/>
        </w:rPr>
      </w:pPr>
      <w:r>
        <w:rPr>
          <w:rFonts w:hint="eastAsia" w:ascii="宋体" w:hAnsi="宋体" w:eastAsia="宋体" w:cs="宋体"/>
          <w:b/>
          <w:bCs/>
          <w:color w:val="auto"/>
          <w:sz w:val="22"/>
          <w:highlight w:val="none"/>
        </w:rPr>
        <w:t>二、服务</w:t>
      </w:r>
      <w:r>
        <w:rPr>
          <w:rFonts w:hint="eastAsia" w:ascii="宋体" w:hAnsi="宋体" w:eastAsia="宋体" w:cs="宋体"/>
          <w:b/>
          <w:bCs/>
          <w:color w:val="auto"/>
          <w:sz w:val="22"/>
          <w:highlight w:val="none"/>
          <w:lang w:val="en-US" w:eastAsia="zh-CN"/>
        </w:rPr>
        <w:t>内容：</w:t>
      </w:r>
      <w:r>
        <w:rPr>
          <w:rFonts w:hint="eastAsia" w:ascii="宋体" w:hAnsi="宋体" w:eastAsia="宋体" w:cs="宋体"/>
          <w:b/>
          <w:bCs/>
          <w:color w:val="auto"/>
          <w:sz w:val="22"/>
          <w:highlight w:val="none"/>
        </w:rPr>
        <w:t>本项目服务内容为温州理工学院提供202</w:t>
      </w:r>
      <w:r>
        <w:rPr>
          <w:rFonts w:hint="eastAsia" w:ascii="宋体" w:hAnsi="宋体" w:eastAsia="宋体" w:cs="宋体"/>
          <w:b/>
          <w:bCs/>
          <w:color w:val="auto"/>
          <w:sz w:val="22"/>
          <w:highlight w:val="none"/>
          <w:lang w:val="en-US" w:eastAsia="zh-CN"/>
        </w:rPr>
        <w:t>5</w:t>
      </w:r>
      <w:r>
        <w:rPr>
          <w:rFonts w:hint="eastAsia" w:ascii="宋体" w:hAnsi="宋体" w:eastAsia="宋体" w:cs="宋体"/>
          <w:b/>
          <w:bCs/>
          <w:color w:val="auto"/>
          <w:sz w:val="22"/>
          <w:highlight w:val="none"/>
        </w:rPr>
        <w:t>年</w:t>
      </w:r>
      <w:r>
        <w:rPr>
          <w:rFonts w:hint="eastAsia" w:ascii="宋体" w:hAnsi="宋体" w:eastAsia="宋体" w:cs="宋体"/>
          <w:b/>
          <w:bCs/>
          <w:color w:val="auto"/>
          <w:sz w:val="22"/>
          <w:highlight w:val="none"/>
          <w:lang w:val="en-US" w:eastAsia="zh-CN"/>
        </w:rPr>
        <w:t>第二期</w:t>
      </w:r>
      <w:r>
        <w:rPr>
          <w:rFonts w:hint="eastAsia" w:ascii="宋体" w:hAnsi="宋体" w:eastAsia="宋体" w:cs="宋体"/>
          <w:b/>
          <w:bCs/>
          <w:color w:val="auto"/>
          <w:sz w:val="22"/>
          <w:highlight w:val="none"/>
        </w:rPr>
        <w:t>校车运输及租车服务</w:t>
      </w:r>
    </w:p>
    <w:p w14:paraId="4BA334BE">
      <w:pPr>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三、服务要求（包括驾驶员和车辆）</w:t>
      </w:r>
    </w:p>
    <w:p w14:paraId="12F6742B">
      <w:pPr>
        <w:spacing w:line="360" w:lineRule="exact"/>
        <w:ind w:firstLine="435" w:firstLineChars="198"/>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（一）驾驶员要求</w:t>
      </w:r>
    </w:p>
    <w:p w14:paraId="7473ECBF">
      <w:pPr>
        <w:numPr>
          <w:ilvl w:val="0"/>
          <w:numId w:val="1"/>
        </w:num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驾驶员需具备10年及以上大型客车驾龄；</w:t>
      </w:r>
    </w:p>
    <w:p w14:paraId="2CEFCBA4">
      <w:pPr>
        <w:numPr>
          <w:ilvl w:val="0"/>
          <w:numId w:val="1"/>
        </w:num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持有相应准驾证件和客运资质；</w:t>
      </w:r>
    </w:p>
    <w:p w14:paraId="4EF609C6">
      <w:pPr>
        <w:numPr>
          <w:ilvl w:val="0"/>
          <w:numId w:val="1"/>
        </w:num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未发生过酒驾、毒驾等事件；</w:t>
      </w:r>
    </w:p>
    <w:p w14:paraId="397A5FD0">
      <w:pPr>
        <w:numPr>
          <w:ilvl w:val="0"/>
          <w:numId w:val="1"/>
        </w:num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驾驶员年龄至本项目投标截止时间止需在30周岁至60周岁之间，身体健康，举止文明；</w:t>
      </w:r>
    </w:p>
    <w:p w14:paraId="05B88F9B">
      <w:pPr>
        <w:numPr>
          <w:ilvl w:val="0"/>
          <w:numId w:val="1"/>
        </w:num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未发生过任何行政或刑事拘留及以上案件；</w:t>
      </w:r>
    </w:p>
    <w:p w14:paraId="2F07FB5E">
      <w:pPr>
        <w:numPr>
          <w:ilvl w:val="0"/>
          <w:numId w:val="1"/>
        </w:num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必须明确提供给采购人驾驶员信息，原则上不得更换（因身体健康、工作态度原因，达不到采购人要求的，经采购人提议，应在短时间内更换），如特殊情况更换需经学校后勤同意并备案，否则不予支付合同款。首次派驻人员试用期1个月。</w:t>
      </w:r>
    </w:p>
    <w:p w14:paraId="66626720">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7.驾驶员监督消毒人员定期对整个车厢消毒；用消毒布子彻底擦拭驾驶舱的方向盘、仪表盘、变速杆等；用肥皂或洗手液以及流水对双手按规定顺序进行清洗。</w:t>
      </w:r>
    </w:p>
    <w:p w14:paraId="74C67E04">
      <w:pPr>
        <w:spacing w:line="360" w:lineRule="exact"/>
        <w:ind w:firstLine="437" w:firstLineChars="198"/>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（三）车辆要求</w:t>
      </w:r>
    </w:p>
    <w:p w14:paraId="6C8F641A">
      <w:pPr>
        <w:numPr>
          <w:ilvl w:val="0"/>
          <w:numId w:val="0"/>
        </w:numPr>
        <w:spacing w:line="360" w:lineRule="exact"/>
        <w:ind w:leftChars="200"/>
        <w:rPr>
          <w:rFonts w:hint="eastAsia" w:ascii="宋体" w:hAnsi="宋体" w:eastAsia="宋体" w:cs="宋体"/>
          <w:color w:val="auto"/>
          <w:sz w:val="22"/>
          <w:highlight w:val="none"/>
        </w:rPr>
      </w:pPr>
      <w:r>
        <w:rPr>
          <w:rFonts w:hint="eastAsia" w:ascii="宋体" w:hAnsi="宋体" w:eastAsia="宋体" w:cs="宋体"/>
          <w:bCs/>
          <w:color w:val="auto"/>
          <w:sz w:val="22"/>
          <w:highlight w:val="none"/>
          <w:u w:val="none"/>
          <w:lang w:eastAsia="zh-CN"/>
        </w:rPr>
        <w:t>（</w:t>
      </w:r>
      <w:r>
        <w:rPr>
          <w:rFonts w:hint="eastAsia" w:ascii="宋体" w:hAnsi="宋体" w:eastAsia="宋体" w:cs="宋体"/>
          <w:bCs/>
          <w:color w:val="auto"/>
          <w:sz w:val="22"/>
          <w:highlight w:val="none"/>
          <w:u w:val="none"/>
          <w:lang w:val="en-US" w:eastAsia="zh-CN"/>
        </w:rPr>
        <w:t>1</w:t>
      </w:r>
      <w:r>
        <w:rPr>
          <w:rFonts w:hint="eastAsia" w:ascii="宋体" w:hAnsi="宋体" w:eastAsia="宋体" w:cs="宋体"/>
          <w:bCs/>
          <w:color w:val="auto"/>
          <w:sz w:val="22"/>
          <w:highlight w:val="none"/>
          <w:u w:val="none"/>
          <w:lang w:eastAsia="zh-CN"/>
        </w:rPr>
        <w:t>）</w:t>
      </w:r>
      <w:r>
        <w:rPr>
          <w:rFonts w:hint="eastAsia" w:ascii="宋体" w:hAnsi="宋体" w:eastAsia="宋体" w:cs="宋体"/>
          <w:bCs/>
          <w:color w:val="auto"/>
          <w:sz w:val="22"/>
          <w:highlight w:val="none"/>
          <w:u w:val="single"/>
        </w:rPr>
        <w:t>▲</w:t>
      </w:r>
      <w:r>
        <w:rPr>
          <w:rFonts w:hint="eastAsia" w:ascii="宋体" w:hAnsi="宋体" w:eastAsia="宋体" w:cs="宋体"/>
          <w:b/>
          <w:bCs/>
          <w:color w:val="auto"/>
          <w:sz w:val="22"/>
          <w:highlight w:val="none"/>
          <w:u w:val="single"/>
        </w:rPr>
        <w:t>供应商所提供的车辆均为车龄4年内的50座及以上大型客车</w:t>
      </w:r>
      <w:r>
        <w:rPr>
          <w:rFonts w:hint="eastAsia" w:ascii="宋体" w:hAnsi="宋体" w:eastAsia="宋体" w:cs="宋体"/>
          <w:color w:val="auto"/>
          <w:sz w:val="22"/>
          <w:highlight w:val="none"/>
        </w:rPr>
        <w:t>。</w:t>
      </w:r>
    </w:p>
    <w:p w14:paraId="7283E29A">
      <w:pPr>
        <w:numPr>
          <w:ilvl w:val="0"/>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车况良好，内饰干净整洁，车辆交强险、商业险、车上人员险等险种齐全；车辆定期检验合格，灭火器、警示牌、备胎、监控、</w:t>
      </w:r>
      <w:r>
        <w:rPr>
          <w:rFonts w:hint="eastAsia" w:ascii="宋体" w:hAnsi="宋体" w:eastAsia="宋体" w:cs="宋体"/>
          <w:color w:val="auto"/>
          <w:spacing w:val="-6"/>
          <w:sz w:val="22"/>
          <w:highlight w:val="none"/>
        </w:rPr>
        <w:t>GPS定位</w:t>
      </w:r>
      <w:r>
        <w:rPr>
          <w:rFonts w:hint="eastAsia" w:ascii="宋体" w:hAnsi="宋体" w:eastAsia="宋体" w:cs="宋体"/>
          <w:color w:val="auto"/>
          <w:sz w:val="22"/>
          <w:highlight w:val="none"/>
        </w:rPr>
        <w:t>等完备，具备上路资格。</w:t>
      </w:r>
    </w:p>
    <w:p w14:paraId="682920EC">
      <w:pPr>
        <w:numPr>
          <w:ilvl w:val="0"/>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供应商车辆必须保持车厢内外整洁卫生、车窗明亮，且应做到每日清洁；每个座椅保持洁净；不得在车厢内吸烟。</w:t>
      </w:r>
    </w:p>
    <w:p w14:paraId="68B2528D">
      <w:pPr>
        <w:numPr>
          <w:ilvl w:val="0"/>
          <w:numId w:val="0"/>
        </w:numPr>
        <w:spacing w:line="360" w:lineRule="exact"/>
        <w:ind w:left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供应商按乘客的需求开启车内空调，车厢内必须保证适当通风。</w:t>
      </w:r>
    </w:p>
    <w:p w14:paraId="2452776F">
      <w:pPr>
        <w:numPr>
          <w:ilvl w:val="0"/>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供应商所提供的车辆需符合国家交通管理规定及安全环保等要求，供应商参加投标时必须针对线路进行定车定人，响应文件里应包含定车定人线路安排表，日后班车运行中驾驶员、车辆不得调换。签订合同之前，供应商需明确符合采购需求的</w:t>
      </w:r>
      <w:r>
        <w:rPr>
          <w:rFonts w:hint="eastAsia" w:ascii="宋体" w:hAnsi="宋体" w:eastAsia="宋体" w:cs="宋体"/>
          <w:color w:val="auto"/>
          <w:sz w:val="22"/>
          <w:highlight w:val="none"/>
          <w:lang w:eastAsia="zh-CN"/>
        </w:rPr>
        <w:t>车辆</w:t>
      </w:r>
      <w:r>
        <w:rPr>
          <w:rFonts w:hint="eastAsia" w:ascii="宋体" w:hAnsi="宋体" w:eastAsia="宋体" w:cs="宋体"/>
          <w:color w:val="auto"/>
          <w:sz w:val="22"/>
          <w:highlight w:val="none"/>
        </w:rPr>
        <w:t>作为备用车辆（需采购人认可），并需提供车辆信息及随车配备驾驶员信息。如果班车遇年检等特殊情况需调换车辆的，调换前需征得学校班车使用管理部门的同意，然后从备用车辆中选择替补上，待事情解决后马上换回中标车辆。</w:t>
      </w:r>
    </w:p>
    <w:p w14:paraId="66D85223">
      <w:pPr>
        <w:numPr>
          <w:ilvl w:val="0"/>
          <w:numId w:val="0"/>
        </w:numP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对方提供车辆需按校方要求贴上指定的学校LOGO。</w:t>
      </w:r>
    </w:p>
    <w:p w14:paraId="7F33C678">
      <w:pPr>
        <w:pStyle w:val="9"/>
        <w:spacing w:after="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（四）</w:t>
      </w:r>
      <w:r>
        <w:rPr>
          <w:rFonts w:hint="eastAsia" w:ascii="宋体" w:hAnsi="宋体" w:eastAsia="宋体" w:cs="宋体"/>
          <w:color w:val="auto"/>
          <w:sz w:val="22"/>
          <w:szCs w:val="22"/>
          <w:highlight w:val="none"/>
        </w:rPr>
        <w:t>★</w:t>
      </w:r>
      <w:r>
        <w:rPr>
          <w:rFonts w:hint="eastAsia" w:ascii="宋体" w:hAnsi="宋体" w:eastAsia="宋体" w:cs="宋体"/>
          <w:bCs/>
          <w:color w:val="auto"/>
          <w:sz w:val="22"/>
          <w:szCs w:val="22"/>
          <w:highlight w:val="none"/>
        </w:rPr>
        <w:t>车辆基本消杀要求</w:t>
      </w:r>
    </w:p>
    <w:p w14:paraId="5FD12D68">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车辆由乙方执行“一趟一清扫、一周一消毒、通风不间断、消杀无死角”制度，车辆到达终点站及时进行通风。</w:t>
      </w:r>
    </w:p>
    <w:p w14:paraId="688D3F5B">
      <w:pPr>
        <w:spacing w:line="360" w:lineRule="exact"/>
        <w:ind w:firstLine="437" w:firstLineChars="198"/>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（五）其他要求</w:t>
      </w:r>
    </w:p>
    <w:p w14:paraId="0DC94137">
      <w:pPr>
        <w:numPr>
          <w:ilvl w:val="0"/>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bCs/>
          <w:color w:val="auto"/>
          <w:sz w:val="22"/>
          <w:highlight w:val="none"/>
          <w:u w:val="none"/>
          <w:lang w:eastAsia="zh-CN"/>
        </w:rPr>
        <w:t>（</w:t>
      </w:r>
      <w:r>
        <w:rPr>
          <w:rFonts w:hint="eastAsia" w:ascii="宋体" w:hAnsi="宋体" w:eastAsia="宋体" w:cs="宋体"/>
          <w:bCs/>
          <w:color w:val="auto"/>
          <w:sz w:val="22"/>
          <w:highlight w:val="none"/>
          <w:u w:val="none"/>
          <w:lang w:val="en-US" w:eastAsia="zh-CN"/>
        </w:rPr>
        <w:t>1</w:t>
      </w:r>
      <w:r>
        <w:rPr>
          <w:rFonts w:hint="eastAsia" w:ascii="宋体" w:hAnsi="宋体" w:eastAsia="宋体" w:cs="宋体"/>
          <w:bCs/>
          <w:color w:val="auto"/>
          <w:sz w:val="22"/>
          <w:highlight w:val="none"/>
          <w:u w:val="none"/>
          <w:lang w:eastAsia="zh-CN"/>
        </w:rPr>
        <w:t>）</w:t>
      </w:r>
      <w:r>
        <w:rPr>
          <w:rFonts w:hint="eastAsia" w:ascii="宋体" w:hAnsi="宋体" w:eastAsia="宋体" w:cs="宋体"/>
          <w:color w:val="auto"/>
          <w:sz w:val="22"/>
          <w:highlight w:val="none"/>
        </w:rPr>
        <w:t>服务期间，供应商行车载客必须遵守道路交通规则。如违反交通规则，所有相关罚款由成交供应商负责；如造成交通事故或乘客伤亡，采购人有权向成交供应商索赔，由成交供应商承担所有责任及赔偿相应的费用（保险赔付不足部分由成交供应商承担）；如对甲方、乙方外的第三者造成损害，也应由乙方承担所有责任。</w:t>
      </w:r>
    </w:p>
    <w:p w14:paraId="26097904">
      <w:pPr>
        <w:numPr>
          <w:ilvl w:val="0"/>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供应商车辆必须在规定时间准时到达起点站，如车辆途中故障排除需超过20分钟，或因跳站漏站的应马上采用其它交通工具送采购人客人到达目的地，所发生的车费由供应商负责。</w:t>
      </w:r>
    </w:p>
    <w:p w14:paraId="202AC267">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w:t>
      </w:r>
      <w:r>
        <w:rPr>
          <w:rFonts w:hint="eastAsia" w:ascii="宋体" w:hAnsi="宋体" w:eastAsia="宋体" w:cs="宋体"/>
          <w:bCs/>
          <w:color w:val="auto"/>
          <w:sz w:val="22"/>
          <w:highlight w:val="none"/>
        </w:rPr>
        <w:t>应急预案：班</w:t>
      </w:r>
      <w:r>
        <w:rPr>
          <w:rFonts w:hint="eastAsia" w:ascii="宋体" w:hAnsi="宋体" w:eastAsia="宋体" w:cs="宋体"/>
          <w:color w:val="auto"/>
          <w:sz w:val="22"/>
          <w:highlight w:val="none"/>
        </w:rPr>
        <w:t>线运营过程中车辆</w:t>
      </w:r>
      <w:r>
        <w:rPr>
          <w:rFonts w:hint="eastAsia" w:ascii="宋体" w:hAnsi="宋体" w:eastAsia="宋体" w:cs="宋体"/>
          <w:color w:val="auto"/>
          <w:sz w:val="22"/>
          <w:highlight w:val="none"/>
          <w:lang w:eastAsia="zh-CN"/>
        </w:rPr>
        <w:t>发生</w:t>
      </w:r>
      <w:r>
        <w:rPr>
          <w:rFonts w:hint="eastAsia" w:ascii="宋体" w:hAnsi="宋体" w:eastAsia="宋体" w:cs="宋体"/>
          <w:color w:val="auto"/>
          <w:sz w:val="22"/>
          <w:highlight w:val="none"/>
        </w:rPr>
        <w:t>故障或道路交通事故，供应商需立即调用备用车辆保障班线运行，由于车辆及驾驶员问题造成的教职工用车费用或教学事故均由供应商负责。</w:t>
      </w:r>
    </w:p>
    <w:p w14:paraId="76DAACD5">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服务期间对师生提出的诉求及时响应，如无法解决的上报采购人。</w:t>
      </w:r>
    </w:p>
    <w:p w14:paraId="61ECBC82">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出车当天，仅为提供甲方服务，不得因其他因素出车。</w:t>
      </w:r>
    </w:p>
    <w:p w14:paraId="63EA0243">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需按学校规定定点停放车辆，不得私自乱停。</w:t>
      </w:r>
    </w:p>
    <w:p w14:paraId="4EFBB96A">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需准点准时经过各站点。有接送</w:t>
      </w:r>
      <w:r>
        <w:rPr>
          <w:rFonts w:hint="eastAsia" w:ascii="宋体" w:hAnsi="宋体" w:eastAsia="宋体" w:cs="宋体"/>
          <w:color w:val="auto"/>
          <w:sz w:val="22"/>
          <w:highlight w:val="none"/>
          <w:lang w:val="en-US" w:eastAsia="zh-CN"/>
        </w:rPr>
        <w:t>师生</w:t>
      </w:r>
      <w:r>
        <w:rPr>
          <w:rFonts w:hint="eastAsia" w:ascii="宋体" w:hAnsi="宋体" w:eastAsia="宋体" w:cs="宋体"/>
          <w:color w:val="auto"/>
          <w:sz w:val="22"/>
          <w:highlight w:val="none"/>
        </w:rPr>
        <w:t>的情况下需走高速，高速费</w:t>
      </w:r>
      <w:r>
        <w:rPr>
          <w:rFonts w:hint="eastAsia" w:ascii="宋体" w:hAnsi="宋体" w:eastAsia="宋体" w:cs="宋体"/>
          <w:color w:val="auto"/>
          <w:sz w:val="22"/>
          <w:highlight w:val="none"/>
          <w:lang w:eastAsia="zh-CN"/>
        </w:rPr>
        <w:t>用由</w:t>
      </w:r>
      <w:r>
        <w:rPr>
          <w:rFonts w:hint="eastAsia" w:ascii="宋体" w:hAnsi="宋体" w:eastAsia="宋体" w:cs="宋体"/>
          <w:color w:val="auto"/>
          <w:sz w:val="22"/>
          <w:highlight w:val="none"/>
        </w:rPr>
        <w:t>乙方出，不能自行调整线路。</w:t>
      </w:r>
    </w:p>
    <w:p w14:paraId="5A291B5C">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茶山-滨海的班车非运营时间要求停放在茶山规定位置。</w:t>
      </w:r>
    </w:p>
    <w:p w14:paraId="5D147DC6">
      <w:pPr>
        <w:pStyle w:val="5"/>
        <w:numPr>
          <w:ilvl w:val="0"/>
          <w:numId w:val="0"/>
        </w:numPr>
        <w:spacing w:after="0" w:line="360" w:lineRule="exact"/>
        <w:ind w:right="0" w:rightChars="0"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9</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接送车必须在前挡风玻璃明显位置放置“接送专用车”标志牌。</w:t>
      </w:r>
      <w:r>
        <w:rPr>
          <w:rFonts w:hint="eastAsia" w:ascii="宋体" w:hAnsi="宋体" w:eastAsia="宋体" w:cs="宋体"/>
          <w:b/>
          <w:bCs/>
          <w:color w:val="auto"/>
          <w:sz w:val="22"/>
          <w:highlight w:val="none"/>
        </w:rPr>
        <w:t>接送车车身必须使用甲方标志的醒目车贴（要美观），且不得出现其他公司名称之类的标识，服务期内不得</w:t>
      </w:r>
      <w:r>
        <w:rPr>
          <w:rFonts w:hint="eastAsia" w:ascii="宋体" w:hAnsi="宋体" w:eastAsia="宋体" w:cs="宋体"/>
          <w:b/>
          <w:bCs/>
          <w:color w:val="auto"/>
          <w:sz w:val="22"/>
          <w:highlight w:val="none"/>
          <w:lang w:eastAsia="zh-CN"/>
        </w:rPr>
        <w:t>挪作他用</w:t>
      </w:r>
      <w:r>
        <w:rPr>
          <w:rFonts w:hint="eastAsia" w:ascii="宋体" w:hAnsi="宋体" w:eastAsia="宋体" w:cs="宋体"/>
          <w:b/>
          <w:bCs/>
          <w:color w:val="auto"/>
          <w:sz w:val="22"/>
          <w:highlight w:val="none"/>
        </w:rPr>
        <w:t>。</w:t>
      </w:r>
    </w:p>
    <w:p w14:paraId="2180634C">
      <w:pPr>
        <w:pStyle w:val="5"/>
        <w:numPr>
          <w:ilvl w:val="0"/>
          <w:numId w:val="0"/>
        </w:numPr>
        <w:spacing w:after="0" w:line="360" w:lineRule="exact"/>
        <w:ind w:right="0" w:rightChars="0"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1</w:t>
      </w:r>
      <w:r>
        <w:rPr>
          <w:rFonts w:hint="eastAsia" w:eastAsia="宋体" w:cs="宋体"/>
          <w:b/>
          <w:color w:val="auto"/>
          <w:sz w:val="22"/>
          <w:highlight w:val="none"/>
          <w:lang w:val="en-US" w:eastAsia="zh-CN"/>
        </w:rPr>
        <w:t>0</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采购人有权在合理范围（单条线路调整范围为±10km）内根据实际情况，调整路线及时间，且合同金额不变，请供应商在投标响应时充分考虑调整带来的风险。</w:t>
      </w:r>
    </w:p>
    <w:p w14:paraId="2F3B7CEF">
      <w:pPr>
        <w:pStyle w:val="5"/>
        <w:numPr>
          <w:ilvl w:val="0"/>
          <w:numId w:val="0"/>
        </w:numPr>
        <w:spacing w:after="0" w:line="360" w:lineRule="exact"/>
        <w:ind w:right="0" w:rightChars="0"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rPr>
        <w:t>★</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1</w:t>
      </w:r>
      <w:r>
        <w:rPr>
          <w:rFonts w:hint="eastAsia" w:eastAsia="宋体" w:cs="宋体"/>
          <w:b/>
          <w:color w:val="auto"/>
          <w:sz w:val="22"/>
          <w:highlight w:val="none"/>
          <w:lang w:val="en-US" w:eastAsia="zh-CN"/>
        </w:rPr>
        <w:t>1</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专用校车必须按规定缴纳车辆交强险、商业险（承运人险每座保额不低于50</w:t>
      </w:r>
      <w:r>
        <w:rPr>
          <w:rFonts w:hint="eastAsia" w:ascii="宋体" w:hAnsi="宋体" w:eastAsia="宋体" w:cs="宋体"/>
          <w:b/>
          <w:color w:val="auto"/>
          <w:sz w:val="22"/>
          <w:highlight w:val="none"/>
          <w:lang w:eastAsia="zh-CN"/>
        </w:rPr>
        <w:t>万元</w:t>
      </w:r>
      <w:r>
        <w:rPr>
          <w:rFonts w:hint="eastAsia" w:ascii="宋体" w:hAnsi="宋体" w:eastAsia="宋体" w:cs="宋体"/>
          <w:b/>
          <w:color w:val="auto"/>
          <w:sz w:val="22"/>
          <w:highlight w:val="none"/>
        </w:rPr>
        <w:t>）、第三者责任险保额不少于100万元；保险的费用由</w:t>
      </w:r>
      <w:r>
        <w:rPr>
          <w:rFonts w:hint="eastAsia" w:ascii="宋体" w:hAnsi="宋体" w:eastAsia="宋体" w:cs="宋体"/>
          <w:b/>
          <w:color w:val="auto"/>
          <w:sz w:val="22"/>
          <w:highlight w:val="none"/>
          <w:lang w:eastAsia="zh-CN"/>
        </w:rPr>
        <w:t>供应商</w:t>
      </w:r>
      <w:r>
        <w:rPr>
          <w:rFonts w:hint="eastAsia" w:ascii="宋体" w:hAnsi="宋体" w:eastAsia="宋体" w:cs="宋体"/>
          <w:b/>
          <w:color w:val="auto"/>
          <w:sz w:val="22"/>
          <w:highlight w:val="none"/>
        </w:rPr>
        <w:t>承担。</w:t>
      </w:r>
    </w:p>
    <w:p w14:paraId="189087EA">
      <w:pPr>
        <w:pStyle w:val="5"/>
        <w:numPr>
          <w:ilvl w:val="0"/>
          <w:numId w:val="0"/>
        </w:numPr>
        <w:spacing w:after="0" w:line="360" w:lineRule="exact"/>
        <w:ind w:right="0" w:rightChars="0" w:firstLine="442" w:firstLineChars="200"/>
        <w:rPr>
          <w:rFonts w:hint="eastAsia" w:ascii="宋体" w:hAnsi="宋体" w:eastAsia="宋体" w:cs="宋体"/>
          <w:b/>
          <w:color w:val="auto"/>
          <w:sz w:val="22"/>
          <w:highlight w:val="none"/>
          <w:u w:val="single"/>
        </w:rPr>
      </w:pP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1</w:t>
      </w:r>
      <w:r>
        <w:rPr>
          <w:rFonts w:hint="eastAsia" w:eastAsia="宋体" w:cs="宋体"/>
          <w:b/>
          <w:color w:val="auto"/>
          <w:sz w:val="22"/>
          <w:highlight w:val="none"/>
          <w:lang w:val="en-US" w:eastAsia="zh-CN"/>
        </w:rPr>
        <w:t>2</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学校内大型活动出行用车，结算根据实际次数，按中标单价来计算*次数。</w:t>
      </w:r>
    </w:p>
    <w:p w14:paraId="07C99359">
      <w:pPr>
        <w:spacing w:line="360" w:lineRule="exact"/>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四、项目基本概况介绍</w:t>
      </w:r>
    </w:p>
    <w:p w14:paraId="58282F4E">
      <w:pPr>
        <w:spacing w:line="360" w:lineRule="exact"/>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（1）最高限价</w:t>
      </w:r>
    </w:p>
    <w:tbl>
      <w:tblPr>
        <w:tblStyle w:val="10"/>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9"/>
        <w:gridCol w:w="2574"/>
        <w:gridCol w:w="3319"/>
      </w:tblGrid>
      <w:tr w14:paraId="7E2E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9" w:type="dxa"/>
            <w:noWrap w:val="0"/>
            <w:vAlign w:val="center"/>
          </w:tcPr>
          <w:p w14:paraId="6D6AFD44">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时间</w:t>
            </w:r>
          </w:p>
        </w:tc>
        <w:tc>
          <w:tcPr>
            <w:tcW w:w="2574" w:type="dxa"/>
            <w:noWrap w:val="0"/>
            <w:vAlign w:val="center"/>
          </w:tcPr>
          <w:p w14:paraId="450A69A9">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班次</w:t>
            </w:r>
          </w:p>
        </w:tc>
        <w:tc>
          <w:tcPr>
            <w:tcW w:w="3319" w:type="dxa"/>
            <w:noWrap w:val="0"/>
            <w:vAlign w:val="center"/>
          </w:tcPr>
          <w:p w14:paraId="70E8A24D">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往返1趟最高限价（元）</w:t>
            </w:r>
          </w:p>
        </w:tc>
      </w:tr>
      <w:tr w14:paraId="4CBD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059" w:type="dxa"/>
            <w:noWrap w:val="0"/>
            <w:vAlign w:val="center"/>
          </w:tcPr>
          <w:p w14:paraId="7569E68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温州市区/茶山-滨海校区</w:t>
            </w:r>
          </w:p>
        </w:tc>
        <w:tc>
          <w:tcPr>
            <w:tcW w:w="2574" w:type="dxa"/>
            <w:noWrap w:val="0"/>
            <w:vAlign w:val="center"/>
          </w:tcPr>
          <w:p w14:paraId="540A2516">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往返1趟</w:t>
            </w:r>
          </w:p>
        </w:tc>
        <w:tc>
          <w:tcPr>
            <w:tcW w:w="3319" w:type="dxa"/>
            <w:noWrap w:val="0"/>
            <w:vAlign w:val="center"/>
          </w:tcPr>
          <w:p w14:paraId="3C959E82">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1200</w:t>
            </w:r>
          </w:p>
        </w:tc>
      </w:tr>
      <w:tr w14:paraId="17A4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59" w:type="dxa"/>
            <w:noWrap w:val="0"/>
            <w:vAlign w:val="center"/>
          </w:tcPr>
          <w:p w14:paraId="345A5115">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温州市区/茶山—滨海校区</w:t>
            </w:r>
          </w:p>
        </w:tc>
        <w:tc>
          <w:tcPr>
            <w:tcW w:w="2574" w:type="dxa"/>
            <w:noWrap w:val="0"/>
            <w:vAlign w:val="center"/>
          </w:tcPr>
          <w:p w14:paraId="65F37208">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每增加往返1趟</w:t>
            </w:r>
          </w:p>
        </w:tc>
        <w:tc>
          <w:tcPr>
            <w:tcW w:w="3319" w:type="dxa"/>
            <w:noWrap w:val="0"/>
            <w:vAlign w:val="center"/>
          </w:tcPr>
          <w:p w14:paraId="0863C9A4">
            <w:pPr>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500</w:t>
            </w:r>
          </w:p>
        </w:tc>
      </w:tr>
    </w:tbl>
    <w:p w14:paraId="1243B001">
      <w:pPr>
        <w:spacing w:line="36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u w:val="single"/>
        </w:rPr>
        <w:t>▲供应商</w:t>
      </w:r>
      <w:r>
        <w:rPr>
          <w:rFonts w:hint="eastAsia" w:ascii="宋体" w:hAnsi="宋体" w:eastAsia="宋体" w:cs="宋体"/>
          <w:color w:val="auto"/>
          <w:sz w:val="22"/>
          <w:highlight w:val="none"/>
          <w:u w:val="single"/>
          <w:lang w:val="en-US" w:eastAsia="zh-CN"/>
        </w:rPr>
        <w:t>各阶段</w:t>
      </w:r>
      <w:r>
        <w:rPr>
          <w:rFonts w:hint="eastAsia" w:ascii="宋体" w:hAnsi="宋体" w:eastAsia="宋体" w:cs="宋体"/>
          <w:color w:val="auto"/>
          <w:sz w:val="22"/>
          <w:highlight w:val="none"/>
          <w:u w:val="single"/>
        </w:rPr>
        <w:t>投标报价超过最高限价的按投标无效处理。</w:t>
      </w:r>
    </w:p>
    <w:p w14:paraId="38BF16D6">
      <w:pPr>
        <w:spacing w:line="360" w:lineRule="exact"/>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（2）路线</w:t>
      </w:r>
    </w:p>
    <w:p w14:paraId="04E060BC">
      <w:pPr>
        <w:spacing w:line="360" w:lineRule="exact"/>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2.1</w:t>
      </w:r>
      <w:r>
        <w:rPr>
          <w:rFonts w:hint="eastAsia" w:ascii="宋体" w:hAnsi="宋体" w:eastAsia="宋体" w:cs="宋体"/>
          <w:color w:val="auto"/>
          <w:sz w:val="22"/>
          <w:highlight w:val="none"/>
        </w:rPr>
        <w:t>、温州市区-滨海校区之间往返</w:t>
      </w:r>
    </w:p>
    <w:tbl>
      <w:tblPr>
        <w:tblStyle w:val="11"/>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7291"/>
        <w:gridCol w:w="730"/>
      </w:tblGrid>
      <w:tr w14:paraId="099E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14:paraId="24ACCE6A">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班线</w:t>
            </w:r>
          </w:p>
        </w:tc>
        <w:tc>
          <w:tcPr>
            <w:tcW w:w="7291" w:type="dxa"/>
            <w:noWrap w:val="0"/>
            <w:vAlign w:val="center"/>
          </w:tcPr>
          <w:p w14:paraId="1711AAC3">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路线</w:t>
            </w:r>
          </w:p>
        </w:tc>
        <w:tc>
          <w:tcPr>
            <w:tcW w:w="730" w:type="dxa"/>
            <w:noWrap w:val="0"/>
            <w:vAlign w:val="center"/>
          </w:tcPr>
          <w:p w14:paraId="0954D926">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5A67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14:paraId="1187A4FE">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将军大酒店—滨海校区</w:t>
            </w:r>
          </w:p>
        </w:tc>
        <w:tc>
          <w:tcPr>
            <w:tcW w:w="7291" w:type="dxa"/>
            <w:noWrap w:val="0"/>
            <w:vAlign w:val="top"/>
          </w:tcPr>
          <w:p w14:paraId="2F140D54">
            <w:pPr>
              <w:pStyle w:val="2"/>
              <w:spacing w:after="0" w:line="360" w:lineRule="exact"/>
              <w:outlineLvl w:val="0"/>
              <w:rPr>
                <w:rFonts w:hint="eastAsia" w:ascii="宋体" w:hAnsi="宋体" w:eastAsia="宋体" w:cs="宋体"/>
                <w:color w:val="auto"/>
                <w:sz w:val="22"/>
                <w:highlight w:val="none"/>
              </w:rPr>
            </w:pPr>
            <w:bookmarkStart w:id="1" w:name="_Toc25738"/>
            <w:r>
              <w:rPr>
                <w:rFonts w:hint="eastAsia" w:ascii="宋体" w:hAnsi="宋体" w:eastAsia="宋体" w:cs="宋体"/>
                <w:color w:val="auto"/>
                <w:sz w:val="22"/>
                <w:highlight w:val="none"/>
              </w:rPr>
              <w:t>将军大酒店(公交站)→银都花苑(公交站)→华夏银行下吕浦(公交站)→温迪路(公交站)→南浦小学南校区(公交站)→月落垟(公交站)→南瓯景园(公交站)→南湖路瓯越大道(公交站)→荷塘月色(公交站)→滨海校区</w:t>
            </w:r>
            <w:bookmarkEnd w:id="1"/>
          </w:p>
        </w:tc>
        <w:tc>
          <w:tcPr>
            <w:tcW w:w="730" w:type="dxa"/>
            <w:noWrap w:val="0"/>
            <w:vAlign w:val="center"/>
          </w:tcPr>
          <w:p w14:paraId="3899CD60">
            <w:pPr>
              <w:pStyle w:val="2"/>
              <w:spacing w:after="0" w:line="360" w:lineRule="exact"/>
              <w:jc w:val="center"/>
              <w:rPr>
                <w:rFonts w:hint="eastAsia" w:ascii="宋体" w:hAnsi="宋体" w:eastAsia="宋体" w:cs="宋体"/>
                <w:color w:val="auto"/>
                <w:sz w:val="22"/>
                <w:highlight w:val="none"/>
              </w:rPr>
            </w:pPr>
          </w:p>
        </w:tc>
      </w:tr>
      <w:tr w14:paraId="4E4F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14:paraId="50369BD2">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半腰桥—滨海校区</w:t>
            </w:r>
          </w:p>
        </w:tc>
        <w:tc>
          <w:tcPr>
            <w:tcW w:w="7291" w:type="dxa"/>
            <w:noWrap w:val="0"/>
            <w:vAlign w:val="top"/>
          </w:tcPr>
          <w:p w14:paraId="0701C2B8">
            <w:pPr>
              <w:pStyle w:val="2"/>
              <w:spacing w:after="0" w:line="360" w:lineRule="exact"/>
              <w:outlineLvl w:val="0"/>
              <w:rPr>
                <w:rFonts w:hint="eastAsia" w:ascii="宋体" w:hAnsi="宋体" w:eastAsia="宋体" w:cs="宋体"/>
                <w:color w:val="auto"/>
                <w:sz w:val="22"/>
                <w:highlight w:val="none"/>
              </w:rPr>
            </w:pPr>
            <w:bookmarkStart w:id="2" w:name="_Toc23651"/>
            <w:r>
              <w:rPr>
                <w:rFonts w:hint="eastAsia" w:ascii="宋体" w:hAnsi="宋体" w:eastAsia="宋体" w:cs="宋体"/>
                <w:color w:val="auto"/>
                <w:sz w:val="22"/>
                <w:highlight w:val="none"/>
              </w:rPr>
              <w:t>①半腰桥(公交站)→广化桥(公交站)→下桥北(公交站)→过境路与双星路路口→黄龙康城三组团（公交站）→黄龙康园东门（公交站）→温州西→滨海校区</w:t>
            </w:r>
            <w:bookmarkEnd w:id="2"/>
          </w:p>
          <w:p w14:paraId="3DFF933F">
            <w:pPr>
              <w:pStyle w:val="2"/>
              <w:spacing w:after="0" w:line="360" w:lineRule="exact"/>
              <w:outlineLvl w:val="0"/>
              <w:rPr>
                <w:rFonts w:hint="eastAsia" w:ascii="宋体" w:hAnsi="宋体" w:eastAsia="宋体" w:cs="宋体"/>
                <w:color w:val="auto"/>
                <w:sz w:val="22"/>
                <w:highlight w:val="none"/>
              </w:rPr>
            </w:pPr>
            <w:bookmarkStart w:id="3" w:name="_Toc18842"/>
            <w:r>
              <w:rPr>
                <w:rFonts w:hint="eastAsia" w:ascii="宋体" w:hAnsi="宋体" w:eastAsia="宋体" w:cs="宋体"/>
                <w:color w:val="auto"/>
                <w:sz w:val="22"/>
                <w:highlight w:val="none"/>
              </w:rPr>
              <w:t>②温州西→黄龙康城东门→黄龙康城三组团→过境路与双星路路口→双星路与星海路路口→广化桥→半腰桥</w:t>
            </w:r>
            <w:bookmarkEnd w:id="3"/>
          </w:p>
        </w:tc>
        <w:tc>
          <w:tcPr>
            <w:tcW w:w="730" w:type="dxa"/>
            <w:noWrap w:val="0"/>
            <w:vAlign w:val="center"/>
          </w:tcPr>
          <w:p w14:paraId="2CE14609">
            <w:pPr>
              <w:pStyle w:val="2"/>
              <w:spacing w:after="0" w:line="360" w:lineRule="exact"/>
              <w:jc w:val="center"/>
              <w:rPr>
                <w:rFonts w:hint="eastAsia" w:ascii="宋体" w:hAnsi="宋体" w:eastAsia="宋体" w:cs="宋体"/>
                <w:color w:val="auto"/>
                <w:sz w:val="22"/>
                <w:highlight w:val="none"/>
              </w:rPr>
            </w:pPr>
          </w:p>
        </w:tc>
      </w:tr>
      <w:tr w14:paraId="6520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14:paraId="28E132B7">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温州大厦—滨海校区</w:t>
            </w:r>
          </w:p>
        </w:tc>
        <w:tc>
          <w:tcPr>
            <w:tcW w:w="7291" w:type="dxa"/>
            <w:noWrap w:val="0"/>
            <w:vAlign w:val="top"/>
          </w:tcPr>
          <w:p w14:paraId="70548DDA">
            <w:pPr>
              <w:pStyle w:val="2"/>
              <w:spacing w:after="0" w:line="360" w:lineRule="exact"/>
              <w:outlineLvl w:val="0"/>
              <w:rPr>
                <w:rFonts w:hint="eastAsia" w:ascii="宋体" w:hAnsi="宋体" w:eastAsia="宋体" w:cs="宋体"/>
                <w:color w:val="auto"/>
                <w:sz w:val="22"/>
                <w:highlight w:val="none"/>
              </w:rPr>
            </w:pPr>
            <w:bookmarkStart w:id="4" w:name="_Toc30428"/>
            <w:r>
              <w:rPr>
                <w:rFonts w:hint="eastAsia" w:ascii="宋体" w:hAnsi="宋体" w:eastAsia="宋体" w:cs="宋体"/>
                <w:color w:val="auto"/>
                <w:sz w:val="22"/>
                <w:highlight w:val="none"/>
              </w:rPr>
              <w:t>温州大厦（公交站）→大南门（公交站）→中山公园（公交站）→文景花苑（民航路公交站）→体育中心西（公交站）→时代广场（公交站）→新城站→计量大楼（公交站）→雁湖社区（公交站）→黄屿大道经八路（公交站)→南仙实验小学路口→文昌路三垟湿地入口→文昌路环山北路口→滨海校区</w:t>
            </w:r>
            <w:bookmarkEnd w:id="4"/>
          </w:p>
        </w:tc>
        <w:tc>
          <w:tcPr>
            <w:tcW w:w="730" w:type="dxa"/>
            <w:noWrap w:val="0"/>
            <w:vAlign w:val="center"/>
          </w:tcPr>
          <w:p w14:paraId="52D9F018">
            <w:pPr>
              <w:pStyle w:val="2"/>
              <w:spacing w:after="0" w:line="360" w:lineRule="exact"/>
              <w:jc w:val="center"/>
              <w:rPr>
                <w:rFonts w:hint="eastAsia" w:ascii="宋体" w:hAnsi="宋体" w:eastAsia="宋体" w:cs="宋体"/>
                <w:color w:val="auto"/>
                <w:sz w:val="22"/>
                <w:highlight w:val="none"/>
              </w:rPr>
            </w:pPr>
          </w:p>
        </w:tc>
      </w:tr>
      <w:tr w14:paraId="793C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14:paraId="41555AF1">
            <w:pPr>
              <w:pStyle w:val="2"/>
              <w:snapToGrid w:val="0"/>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市体育馆中心—滨海校区</w:t>
            </w:r>
          </w:p>
        </w:tc>
        <w:tc>
          <w:tcPr>
            <w:tcW w:w="7291" w:type="dxa"/>
            <w:noWrap w:val="0"/>
            <w:vAlign w:val="top"/>
          </w:tcPr>
          <w:p w14:paraId="7BED08D2">
            <w:pPr>
              <w:pStyle w:val="2"/>
              <w:spacing w:after="0" w:line="360" w:lineRule="exact"/>
              <w:outlineLvl w:val="0"/>
              <w:rPr>
                <w:rFonts w:hint="eastAsia" w:ascii="宋体" w:hAnsi="宋体" w:eastAsia="宋体" w:cs="宋体"/>
                <w:color w:val="auto"/>
                <w:sz w:val="22"/>
                <w:highlight w:val="none"/>
              </w:rPr>
            </w:pPr>
            <w:bookmarkStart w:id="5" w:name="_Toc30418"/>
            <w:r>
              <w:rPr>
                <w:rFonts w:hint="eastAsia" w:ascii="宋体" w:hAnsi="宋体" w:eastAsia="宋体" w:cs="宋体"/>
                <w:color w:val="auto"/>
                <w:sz w:val="22"/>
                <w:highlight w:val="none"/>
              </w:rPr>
              <w:t>①市体育中心西（公交站）→横渎（公交站）→新城站→雁湖社区→南仙实验小学路口→文昌路三垟湿地入口→文昌路环山北路口→滨海校区</w:t>
            </w:r>
            <w:bookmarkEnd w:id="5"/>
          </w:p>
          <w:p w14:paraId="4E8C2ECA">
            <w:pPr>
              <w:pStyle w:val="2"/>
              <w:spacing w:after="0" w:line="360" w:lineRule="exact"/>
              <w:outlineLvl w:val="0"/>
              <w:rPr>
                <w:rFonts w:hint="eastAsia" w:ascii="宋体" w:hAnsi="宋体" w:eastAsia="宋体" w:cs="宋体"/>
                <w:color w:val="auto"/>
                <w:sz w:val="22"/>
                <w:highlight w:val="none"/>
              </w:rPr>
            </w:pPr>
            <w:bookmarkStart w:id="6" w:name="_Toc27759"/>
            <w:r>
              <w:rPr>
                <w:rFonts w:hint="eastAsia" w:ascii="宋体" w:hAnsi="宋体" w:eastAsia="宋体" w:cs="宋体"/>
                <w:color w:val="auto"/>
                <w:sz w:val="22"/>
                <w:highlight w:val="none"/>
              </w:rPr>
              <w:t>②滨海校区→文昌路环山北路(公交站)→茶山校区(景观大道正门)→高教博园→茶山街道办事处(公交站)→鹅颈头(公交站)</w:t>
            </w:r>
            <w:bookmarkEnd w:id="6"/>
          </w:p>
        </w:tc>
        <w:tc>
          <w:tcPr>
            <w:tcW w:w="730" w:type="dxa"/>
            <w:noWrap w:val="0"/>
            <w:vAlign w:val="center"/>
          </w:tcPr>
          <w:p w14:paraId="0A7B6F1F">
            <w:pPr>
              <w:pStyle w:val="2"/>
              <w:spacing w:after="0" w:line="360" w:lineRule="exact"/>
              <w:jc w:val="center"/>
              <w:rPr>
                <w:rFonts w:hint="eastAsia" w:ascii="宋体" w:hAnsi="宋体" w:eastAsia="宋体" w:cs="宋体"/>
                <w:color w:val="auto"/>
                <w:sz w:val="22"/>
                <w:highlight w:val="none"/>
              </w:rPr>
            </w:pPr>
          </w:p>
        </w:tc>
      </w:tr>
      <w:tr w14:paraId="0AAD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27" w:type="dxa"/>
            <w:noWrap w:val="0"/>
            <w:vAlign w:val="center"/>
          </w:tcPr>
          <w:p w14:paraId="29881685">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郭公山—滨海校区</w:t>
            </w:r>
          </w:p>
        </w:tc>
        <w:tc>
          <w:tcPr>
            <w:tcW w:w="7291" w:type="dxa"/>
            <w:noWrap w:val="0"/>
            <w:vAlign w:val="top"/>
          </w:tcPr>
          <w:p w14:paraId="631A6F17">
            <w:pPr>
              <w:pStyle w:val="2"/>
              <w:spacing w:after="0" w:line="360" w:lineRule="exact"/>
              <w:outlineLvl w:val="0"/>
              <w:rPr>
                <w:rFonts w:hint="eastAsia" w:ascii="宋体" w:hAnsi="宋体" w:eastAsia="宋体" w:cs="宋体"/>
                <w:color w:val="auto"/>
                <w:sz w:val="22"/>
                <w:highlight w:val="none"/>
              </w:rPr>
            </w:pPr>
            <w:bookmarkStart w:id="7" w:name="_Toc17678"/>
            <w:r>
              <w:rPr>
                <w:rFonts w:hint="eastAsia" w:ascii="宋体" w:hAnsi="宋体" w:eastAsia="宋体" w:cs="宋体"/>
                <w:color w:val="auto"/>
                <w:sz w:val="22"/>
                <w:highlight w:val="none"/>
              </w:rPr>
              <w:t>郭公山（公交站）→百里坊（公交站）→东门大厦（公交站）→灰桥新村（公交站）→7洪殿（公交站）→府东家园南（公交站）→下陡门（公交站）→.假日花园（公交站）→聚英花园（杨府山下涂公交站）→华侨花园（公交站）→滨江首府（公交站）→万象天地（公交站）→滨海校区</w:t>
            </w:r>
            <w:bookmarkEnd w:id="7"/>
          </w:p>
        </w:tc>
        <w:tc>
          <w:tcPr>
            <w:tcW w:w="730" w:type="dxa"/>
            <w:noWrap w:val="0"/>
            <w:vAlign w:val="center"/>
          </w:tcPr>
          <w:p w14:paraId="5CF5DC13">
            <w:pPr>
              <w:pStyle w:val="2"/>
              <w:spacing w:after="0" w:line="360" w:lineRule="exact"/>
              <w:jc w:val="center"/>
              <w:rPr>
                <w:rFonts w:hint="eastAsia" w:ascii="宋体" w:hAnsi="宋体" w:eastAsia="宋体" w:cs="宋体"/>
                <w:color w:val="auto"/>
                <w:sz w:val="22"/>
                <w:highlight w:val="none"/>
              </w:rPr>
            </w:pPr>
          </w:p>
        </w:tc>
      </w:tr>
    </w:tbl>
    <w:p w14:paraId="1CE75439">
      <w:pPr>
        <w:pStyle w:val="2"/>
        <w:spacing w:after="0"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2.2</w:t>
      </w:r>
      <w:r>
        <w:rPr>
          <w:rFonts w:hint="eastAsia" w:ascii="宋体" w:hAnsi="宋体" w:eastAsia="宋体" w:cs="宋体"/>
          <w:color w:val="auto"/>
          <w:sz w:val="22"/>
          <w:highlight w:val="none"/>
        </w:rPr>
        <w:t>、茶山校区—滨海校区之间往返</w:t>
      </w:r>
    </w:p>
    <w:tbl>
      <w:tblPr>
        <w:tblStyle w:val="11"/>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6933"/>
        <w:gridCol w:w="742"/>
      </w:tblGrid>
      <w:tr w14:paraId="067C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3" w:type="dxa"/>
            <w:noWrap w:val="0"/>
            <w:vAlign w:val="center"/>
          </w:tcPr>
          <w:p w14:paraId="136A1084">
            <w:pPr>
              <w:pStyle w:val="2"/>
              <w:spacing w:after="0" w:line="360" w:lineRule="exact"/>
              <w:jc w:val="center"/>
              <w:outlineLvl w:val="0"/>
              <w:rPr>
                <w:rFonts w:hint="eastAsia" w:ascii="宋体" w:hAnsi="宋体" w:eastAsia="宋体" w:cs="宋体"/>
                <w:color w:val="auto"/>
                <w:sz w:val="22"/>
                <w:highlight w:val="none"/>
              </w:rPr>
            </w:pPr>
            <w:bookmarkStart w:id="8" w:name="_Toc254"/>
            <w:r>
              <w:rPr>
                <w:rFonts w:hint="eastAsia" w:ascii="宋体" w:hAnsi="宋体" w:eastAsia="宋体" w:cs="宋体"/>
                <w:color w:val="auto"/>
                <w:sz w:val="22"/>
                <w:highlight w:val="none"/>
              </w:rPr>
              <w:t>班线</w:t>
            </w:r>
            <w:bookmarkEnd w:id="8"/>
          </w:p>
        </w:tc>
        <w:tc>
          <w:tcPr>
            <w:tcW w:w="6933" w:type="dxa"/>
            <w:noWrap w:val="0"/>
            <w:vAlign w:val="center"/>
          </w:tcPr>
          <w:p w14:paraId="594BDDFF">
            <w:pPr>
              <w:pStyle w:val="2"/>
              <w:spacing w:after="0" w:line="360" w:lineRule="exact"/>
              <w:jc w:val="center"/>
              <w:outlineLvl w:val="0"/>
              <w:rPr>
                <w:rFonts w:hint="eastAsia" w:ascii="宋体" w:hAnsi="宋体" w:eastAsia="宋体" w:cs="宋体"/>
                <w:color w:val="auto"/>
                <w:sz w:val="22"/>
                <w:highlight w:val="none"/>
              </w:rPr>
            </w:pPr>
            <w:bookmarkStart w:id="9" w:name="_Toc25914"/>
            <w:r>
              <w:rPr>
                <w:rFonts w:hint="eastAsia" w:ascii="宋体" w:hAnsi="宋体" w:eastAsia="宋体" w:cs="宋体"/>
                <w:color w:val="auto"/>
                <w:sz w:val="22"/>
                <w:highlight w:val="none"/>
              </w:rPr>
              <w:t>路线</w:t>
            </w:r>
            <w:bookmarkEnd w:id="9"/>
          </w:p>
        </w:tc>
        <w:tc>
          <w:tcPr>
            <w:tcW w:w="742" w:type="dxa"/>
            <w:noWrap w:val="0"/>
            <w:vAlign w:val="top"/>
          </w:tcPr>
          <w:p w14:paraId="557EB39D">
            <w:pPr>
              <w:pStyle w:val="2"/>
              <w:spacing w:after="0" w:line="360" w:lineRule="exact"/>
              <w:jc w:val="center"/>
              <w:outlineLvl w:val="0"/>
              <w:rPr>
                <w:rFonts w:hint="eastAsia" w:ascii="宋体" w:hAnsi="宋体" w:eastAsia="宋体" w:cs="宋体"/>
                <w:color w:val="auto"/>
                <w:sz w:val="22"/>
                <w:highlight w:val="none"/>
              </w:rPr>
            </w:pPr>
            <w:bookmarkStart w:id="10" w:name="_Toc29711"/>
            <w:r>
              <w:rPr>
                <w:rFonts w:hint="eastAsia" w:ascii="宋体" w:hAnsi="宋体" w:eastAsia="宋体" w:cs="宋体"/>
                <w:color w:val="auto"/>
                <w:sz w:val="22"/>
                <w:highlight w:val="none"/>
              </w:rPr>
              <w:t>备注</w:t>
            </w:r>
            <w:bookmarkEnd w:id="10"/>
          </w:p>
        </w:tc>
      </w:tr>
      <w:tr w14:paraId="0752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3" w:type="dxa"/>
            <w:noWrap w:val="0"/>
            <w:vAlign w:val="center"/>
          </w:tcPr>
          <w:p w14:paraId="1E9470A4">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茶山校区—滨海校区 1号线</w:t>
            </w:r>
          </w:p>
        </w:tc>
        <w:tc>
          <w:tcPr>
            <w:tcW w:w="6933" w:type="dxa"/>
            <w:noWrap w:val="0"/>
            <w:vAlign w:val="top"/>
          </w:tcPr>
          <w:p w14:paraId="7A800405">
            <w:pPr>
              <w:pStyle w:val="2"/>
              <w:spacing w:after="0" w:line="360" w:lineRule="exact"/>
              <w:outlineLvl w:val="0"/>
              <w:rPr>
                <w:rFonts w:hint="eastAsia" w:ascii="宋体" w:hAnsi="宋体" w:eastAsia="宋体" w:cs="宋体"/>
                <w:color w:val="auto"/>
                <w:sz w:val="22"/>
                <w:highlight w:val="none"/>
              </w:rPr>
            </w:pPr>
            <w:bookmarkStart w:id="11" w:name="_Toc18919"/>
            <w:r>
              <w:rPr>
                <w:rFonts w:hint="eastAsia" w:ascii="宋体" w:hAnsi="宋体" w:eastAsia="宋体" w:cs="宋体"/>
                <w:color w:val="auto"/>
                <w:sz w:val="22"/>
                <w:highlight w:val="none"/>
              </w:rPr>
              <w:t>①茶山校区(景观大道正门)→ 高教博园→ 茶山街道办事处（公交站）→高科锦园（公交站）→霞新路（公交站）→温州乐园（公交站)→白象东→滨海校区</w:t>
            </w:r>
            <w:bookmarkEnd w:id="11"/>
          </w:p>
          <w:p w14:paraId="23041DB7">
            <w:pPr>
              <w:pStyle w:val="2"/>
              <w:spacing w:after="0" w:line="360" w:lineRule="exact"/>
              <w:outlineLvl w:val="0"/>
              <w:rPr>
                <w:rFonts w:hint="eastAsia" w:ascii="宋体" w:hAnsi="宋体" w:eastAsia="宋体" w:cs="宋体"/>
                <w:color w:val="auto"/>
                <w:sz w:val="22"/>
                <w:highlight w:val="none"/>
              </w:rPr>
            </w:pPr>
            <w:bookmarkStart w:id="12" w:name="_Toc25226"/>
            <w:r>
              <w:rPr>
                <w:rFonts w:hint="eastAsia" w:ascii="宋体" w:hAnsi="宋体" w:eastAsia="宋体" w:cs="宋体"/>
                <w:color w:val="auto"/>
                <w:sz w:val="22"/>
                <w:highlight w:val="none"/>
              </w:rPr>
              <w:t>②滨海校区→文昌路环山北路（公交站）→茶山校区(景观大道正门)</w:t>
            </w:r>
            <w:bookmarkEnd w:id="12"/>
          </w:p>
        </w:tc>
        <w:tc>
          <w:tcPr>
            <w:tcW w:w="742" w:type="dxa"/>
            <w:noWrap w:val="0"/>
            <w:vAlign w:val="center"/>
          </w:tcPr>
          <w:p w14:paraId="57411F4D">
            <w:pPr>
              <w:pStyle w:val="2"/>
              <w:spacing w:after="0" w:line="360" w:lineRule="exact"/>
              <w:jc w:val="center"/>
              <w:outlineLvl w:val="0"/>
              <w:rPr>
                <w:rFonts w:hint="eastAsia" w:ascii="宋体" w:hAnsi="宋体" w:eastAsia="宋体" w:cs="宋体"/>
                <w:color w:val="auto"/>
                <w:sz w:val="22"/>
                <w:highlight w:val="none"/>
              </w:rPr>
            </w:pPr>
          </w:p>
        </w:tc>
      </w:tr>
      <w:tr w14:paraId="369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3" w:type="dxa"/>
            <w:noWrap w:val="0"/>
            <w:vAlign w:val="center"/>
          </w:tcPr>
          <w:p w14:paraId="636BB09F">
            <w:pPr>
              <w:pStyle w:val="2"/>
              <w:spacing w:after="0"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茶山校区—滨海校区 2号线</w:t>
            </w:r>
          </w:p>
        </w:tc>
        <w:tc>
          <w:tcPr>
            <w:tcW w:w="6933" w:type="dxa"/>
            <w:noWrap w:val="0"/>
            <w:vAlign w:val="top"/>
          </w:tcPr>
          <w:p w14:paraId="628194B8">
            <w:pPr>
              <w:pStyle w:val="2"/>
              <w:spacing w:after="0" w:line="360" w:lineRule="exact"/>
              <w:outlineLvl w:val="0"/>
              <w:rPr>
                <w:rFonts w:hint="eastAsia" w:ascii="宋体" w:hAnsi="宋体" w:eastAsia="宋体" w:cs="宋体"/>
                <w:color w:val="auto"/>
                <w:sz w:val="22"/>
                <w:highlight w:val="none"/>
              </w:rPr>
            </w:pPr>
            <w:bookmarkStart w:id="13" w:name="_Toc9868"/>
            <w:r>
              <w:rPr>
                <w:rFonts w:hint="eastAsia" w:ascii="宋体" w:hAnsi="宋体" w:eastAsia="宋体" w:cs="宋体"/>
                <w:color w:val="auto"/>
                <w:sz w:val="22"/>
                <w:highlight w:val="none"/>
              </w:rPr>
              <w:t>①茶山校区(景观大道正门)→高教博园→茶山街道办事处 (公交站)→南白象街道办事处(公交站）→滨海校区</w:t>
            </w:r>
            <w:bookmarkEnd w:id="13"/>
          </w:p>
          <w:p w14:paraId="5DAE80AC">
            <w:pPr>
              <w:pStyle w:val="2"/>
              <w:spacing w:after="0" w:line="360" w:lineRule="exact"/>
              <w:outlineLvl w:val="0"/>
              <w:rPr>
                <w:rFonts w:hint="eastAsia" w:ascii="宋体" w:hAnsi="宋体" w:eastAsia="宋体" w:cs="宋体"/>
                <w:color w:val="auto"/>
                <w:sz w:val="22"/>
                <w:highlight w:val="none"/>
              </w:rPr>
            </w:pPr>
            <w:bookmarkStart w:id="14" w:name="_Toc23412"/>
            <w:r>
              <w:rPr>
                <w:rFonts w:hint="eastAsia" w:ascii="宋体" w:hAnsi="宋体" w:eastAsia="宋体" w:cs="宋体"/>
                <w:color w:val="auto"/>
                <w:sz w:val="22"/>
                <w:highlight w:val="none"/>
              </w:rPr>
              <w:t>②滨海校区→文昌路环山北路(公交站)→茶山校区(景观大道正门)→高教博园</w:t>
            </w:r>
            <w:bookmarkEnd w:id="14"/>
          </w:p>
        </w:tc>
        <w:tc>
          <w:tcPr>
            <w:tcW w:w="742" w:type="dxa"/>
            <w:noWrap w:val="0"/>
            <w:vAlign w:val="center"/>
          </w:tcPr>
          <w:p w14:paraId="22A337A5">
            <w:pPr>
              <w:pStyle w:val="2"/>
              <w:spacing w:after="0" w:line="360" w:lineRule="exact"/>
              <w:jc w:val="center"/>
              <w:outlineLvl w:val="0"/>
              <w:rPr>
                <w:rFonts w:hint="eastAsia" w:ascii="宋体" w:hAnsi="宋体" w:eastAsia="宋体" w:cs="宋体"/>
                <w:color w:val="auto"/>
                <w:sz w:val="22"/>
                <w:highlight w:val="none"/>
              </w:rPr>
            </w:pPr>
          </w:p>
        </w:tc>
      </w:tr>
    </w:tbl>
    <w:p w14:paraId="65616D12">
      <w:pPr>
        <w:pStyle w:val="5"/>
        <w:spacing w:after="0" w:line="360" w:lineRule="exact"/>
        <w:ind w:left="0" w:leftChars="0" w:right="0" w:rightChars="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（3）以上排班表与路线仅供参考，具体以采购人实际运营情况为准。</w:t>
      </w:r>
    </w:p>
    <w:p w14:paraId="15F2817E">
      <w:pPr>
        <w:pStyle w:val="5"/>
        <w:spacing w:after="0" w:line="360" w:lineRule="exact"/>
        <w:ind w:left="0" w:leftChars="0" w:right="0" w:rightChars="0"/>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四、租期</w:t>
      </w:r>
    </w:p>
    <w:p w14:paraId="41AF6D02">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租期：服务期至202</w:t>
      </w:r>
      <w:r>
        <w:rPr>
          <w:rFonts w:hint="eastAsia" w:ascii="宋体" w:hAnsi="宋体" w:eastAsia="宋体" w:cs="宋体"/>
          <w:b/>
          <w:bCs/>
          <w:color w:val="auto"/>
          <w:sz w:val="22"/>
          <w:highlight w:val="none"/>
          <w:lang w:val="en-US" w:eastAsia="zh-CN"/>
        </w:rPr>
        <w:t>5</w:t>
      </w:r>
      <w:r>
        <w:rPr>
          <w:rFonts w:hint="eastAsia" w:ascii="宋体" w:hAnsi="宋体" w:eastAsia="宋体" w:cs="宋体"/>
          <w:b/>
          <w:bCs/>
          <w:color w:val="auto"/>
          <w:sz w:val="22"/>
          <w:highlight w:val="none"/>
        </w:rPr>
        <w:t>年12月31日或总用车服务金额达到预算金额时，自动终止。</w:t>
      </w:r>
    </w:p>
    <w:p w14:paraId="289542BC">
      <w:pPr>
        <w:spacing w:line="360" w:lineRule="exact"/>
        <w:rPr>
          <w:rFonts w:hint="eastAsia"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五、费用结算方式及履约保证金</w:t>
      </w:r>
    </w:p>
    <w:p w14:paraId="68431435">
      <w:pPr>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（一）结算方式</w:t>
      </w:r>
    </w:p>
    <w:p w14:paraId="55761CD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1.签订合同后</w:t>
      </w:r>
      <w:r>
        <w:rPr>
          <w:rFonts w:hint="eastAsia" w:ascii="宋体" w:hAnsi="宋体" w:eastAsia="宋体" w:cs="宋体"/>
          <w:color w:val="auto"/>
          <w:sz w:val="22"/>
          <w:highlight w:val="none"/>
          <w:lang w:eastAsia="zh-CN"/>
        </w:rPr>
        <w:t>采购人</w:t>
      </w:r>
      <w:r>
        <w:rPr>
          <w:rFonts w:hint="eastAsia" w:ascii="宋体" w:hAnsi="宋体" w:eastAsia="宋体" w:cs="宋体"/>
          <w:color w:val="auto"/>
          <w:sz w:val="22"/>
          <w:highlight w:val="none"/>
        </w:rPr>
        <w:t>收到</w:t>
      </w:r>
      <w:r>
        <w:rPr>
          <w:rFonts w:hint="eastAsia" w:ascii="宋体" w:hAnsi="宋体" w:eastAsia="宋体" w:cs="宋体"/>
          <w:color w:val="auto"/>
          <w:sz w:val="22"/>
          <w:highlight w:val="none"/>
          <w:lang w:eastAsia="zh-CN"/>
        </w:rPr>
        <w:t>成交供应商</w:t>
      </w:r>
      <w:r>
        <w:rPr>
          <w:rFonts w:hint="eastAsia" w:ascii="宋体" w:hAnsi="宋体" w:eastAsia="宋体" w:cs="宋体"/>
          <w:color w:val="auto"/>
          <w:sz w:val="22"/>
          <w:highlight w:val="none"/>
        </w:rPr>
        <w:t>出具合同金额</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0%保函后向</w:t>
      </w:r>
      <w:r>
        <w:rPr>
          <w:rFonts w:hint="eastAsia" w:ascii="宋体" w:hAnsi="宋体" w:eastAsia="宋体" w:cs="宋体"/>
          <w:color w:val="auto"/>
          <w:sz w:val="22"/>
          <w:highlight w:val="none"/>
          <w:lang w:eastAsia="zh-CN"/>
        </w:rPr>
        <w:t>成交供应商</w:t>
      </w:r>
      <w:r>
        <w:rPr>
          <w:rFonts w:hint="eastAsia" w:ascii="宋体" w:hAnsi="宋体" w:eastAsia="宋体" w:cs="宋体"/>
          <w:color w:val="auto"/>
          <w:sz w:val="22"/>
          <w:highlight w:val="none"/>
        </w:rPr>
        <w:t>支付合同总额</w:t>
      </w: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0%的预付款</w:t>
      </w:r>
      <w:r>
        <w:rPr>
          <w:rFonts w:hint="eastAsia" w:ascii="宋体" w:hAnsi="宋体" w:eastAsia="宋体" w:cs="宋体"/>
          <w:color w:val="auto"/>
          <w:szCs w:val="21"/>
          <w:highlight w:val="none"/>
        </w:rPr>
        <w:t>。</w:t>
      </w:r>
    </w:p>
    <w:p w14:paraId="3DD260F3">
      <w:pPr>
        <w:numPr>
          <w:ilvl w:val="1"/>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2.剩余</w:t>
      </w:r>
      <w:r>
        <w:rPr>
          <w:rFonts w:hint="eastAsia" w:ascii="宋体" w:hAnsi="宋体" w:eastAsia="宋体" w:cs="宋体"/>
          <w:color w:val="auto"/>
          <w:sz w:val="22"/>
          <w:highlight w:val="none"/>
          <w:lang w:val="en-US" w:eastAsia="zh-CN"/>
        </w:rPr>
        <w:t>金额在服务结束且经采购人验收合格后</w:t>
      </w:r>
      <w:r>
        <w:rPr>
          <w:rFonts w:hint="eastAsia" w:ascii="宋体" w:hAnsi="宋体" w:eastAsia="宋体" w:cs="宋体"/>
          <w:color w:val="auto"/>
          <w:sz w:val="22"/>
          <w:highlight w:val="none"/>
        </w:rPr>
        <w:t>按实际趟数结算(金额：实际发车天数*中标单价)。</w:t>
      </w:r>
    </w:p>
    <w:p w14:paraId="3B48EF99">
      <w:pPr>
        <w:numPr>
          <w:ilvl w:val="1"/>
          <w:numId w:val="0"/>
        </w:num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注：在签订合同时，</w:t>
      </w:r>
      <w:r>
        <w:rPr>
          <w:rFonts w:hint="eastAsia" w:ascii="宋体" w:hAnsi="宋体" w:eastAsia="宋体" w:cs="宋体"/>
          <w:color w:val="auto"/>
          <w:sz w:val="22"/>
          <w:highlight w:val="none"/>
          <w:lang w:eastAsia="zh-CN"/>
        </w:rPr>
        <w:t>成交供应商</w:t>
      </w:r>
      <w:r>
        <w:rPr>
          <w:rFonts w:hint="eastAsia" w:ascii="宋体" w:hAnsi="宋体" w:eastAsia="宋体" w:cs="宋体"/>
          <w:color w:val="auto"/>
          <w:sz w:val="22"/>
          <w:highlight w:val="none"/>
        </w:rPr>
        <w:t>明确表示无需预付款或者主动要求降低预付款比例的，按实际比例计。</w:t>
      </w:r>
      <w:r>
        <w:rPr>
          <w:rFonts w:hint="eastAsia" w:ascii="宋体" w:hAnsi="宋体" w:eastAsia="宋体" w:cs="宋体"/>
          <w:color w:val="auto"/>
          <w:sz w:val="22"/>
          <w:highlight w:val="none"/>
          <w:lang w:eastAsia="zh-CN"/>
        </w:rPr>
        <w:t>采购人</w:t>
      </w:r>
      <w:r>
        <w:rPr>
          <w:rFonts w:hint="eastAsia" w:ascii="宋体" w:hAnsi="宋体" w:eastAsia="宋体" w:cs="宋体"/>
          <w:color w:val="auto"/>
          <w:sz w:val="22"/>
          <w:highlight w:val="none"/>
        </w:rPr>
        <w:t>对于满足合同约定支付条件的，</w:t>
      </w:r>
      <w:r>
        <w:rPr>
          <w:rFonts w:hint="eastAsia" w:ascii="宋体" w:hAnsi="宋体" w:eastAsia="宋体" w:cs="宋体"/>
          <w:color w:val="auto"/>
          <w:sz w:val="22"/>
          <w:highlight w:val="none"/>
          <w:lang w:val="en-US" w:eastAsia="zh-CN"/>
        </w:rPr>
        <w:t>2026年财政资金下达且</w:t>
      </w:r>
      <w:r>
        <w:rPr>
          <w:rFonts w:hint="eastAsia" w:ascii="宋体" w:hAnsi="宋体" w:eastAsia="宋体" w:cs="宋体"/>
          <w:color w:val="auto"/>
          <w:sz w:val="22"/>
          <w:highlight w:val="none"/>
          <w:lang w:eastAsia="zh-CN"/>
        </w:rPr>
        <w:t>采购人</w:t>
      </w:r>
      <w:r>
        <w:rPr>
          <w:rFonts w:hint="eastAsia" w:ascii="宋体" w:hAnsi="宋体" w:eastAsia="宋体" w:cs="宋体"/>
          <w:color w:val="auto"/>
          <w:sz w:val="22"/>
          <w:highlight w:val="none"/>
        </w:rPr>
        <w:t>自收到</w:t>
      </w:r>
      <w:r>
        <w:rPr>
          <w:rFonts w:hint="eastAsia" w:ascii="宋体" w:hAnsi="宋体" w:eastAsia="宋体" w:cs="宋体"/>
          <w:color w:val="auto"/>
          <w:sz w:val="22"/>
          <w:highlight w:val="none"/>
          <w:lang w:eastAsia="zh-CN"/>
        </w:rPr>
        <w:t>成交供应商</w:t>
      </w:r>
      <w:r>
        <w:rPr>
          <w:rFonts w:hint="eastAsia" w:ascii="宋体" w:hAnsi="宋体" w:eastAsia="宋体" w:cs="宋体"/>
          <w:color w:val="auto"/>
          <w:sz w:val="22"/>
          <w:highlight w:val="none"/>
        </w:rPr>
        <w:t>开具的正式税务发票后7个工作日内将资金支付到合同约定的</w:t>
      </w:r>
      <w:r>
        <w:rPr>
          <w:rFonts w:hint="eastAsia" w:ascii="宋体" w:hAnsi="宋体" w:eastAsia="宋体" w:cs="宋体"/>
          <w:color w:val="auto"/>
          <w:sz w:val="22"/>
          <w:highlight w:val="none"/>
          <w:lang w:eastAsia="zh-CN"/>
        </w:rPr>
        <w:t>成交供应商</w:t>
      </w:r>
      <w:r>
        <w:rPr>
          <w:rFonts w:hint="eastAsia" w:ascii="宋体" w:hAnsi="宋体" w:eastAsia="宋体" w:cs="宋体"/>
          <w:color w:val="auto"/>
          <w:sz w:val="22"/>
          <w:highlight w:val="none"/>
        </w:rPr>
        <w:t>账户。</w:t>
      </w:r>
    </w:p>
    <w:p w14:paraId="48688956">
      <w:pPr>
        <w:tabs>
          <w:tab w:val="left" w:pos="1545"/>
        </w:tabs>
        <w:autoSpaceDE w:val="0"/>
        <w:autoSpaceDN w:val="0"/>
        <w:adjustRightInd w:val="0"/>
        <w:spacing w:line="360" w:lineRule="exact"/>
        <w:ind w:firstLine="442" w:firstLineChars="200"/>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（二）履约保证金</w:t>
      </w:r>
    </w:p>
    <w:p w14:paraId="1E46ED2F">
      <w:pPr>
        <w:spacing w:line="400" w:lineRule="exact"/>
        <w:ind w:firstLine="416" w:firstLineChars="200"/>
        <w:rPr>
          <w:rFonts w:hint="eastAsia" w:ascii="宋体" w:hAnsi="宋体" w:eastAsia="宋体" w:cs="宋体"/>
          <w:color w:val="auto"/>
          <w:kern w:val="0"/>
          <w:sz w:val="22"/>
          <w:highlight w:val="none"/>
        </w:rPr>
      </w:pPr>
      <w:r>
        <w:rPr>
          <w:rFonts w:hint="eastAsia" w:ascii="宋体" w:hAnsi="宋体" w:eastAsia="宋体" w:cs="宋体"/>
          <w:color w:val="auto"/>
          <w:spacing w:val="-6"/>
          <w:sz w:val="22"/>
          <w:highlight w:val="none"/>
        </w:rPr>
        <w:t>履约保证金金额：</w:t>
      </w:r>
      <w:r>
        <w:rPr>
          <w:rFonts w:hint="eastAsia" w:ascii="宋体" w:hAnsi="宋体" w:eastAsia="宋体" w:cs="宋体"/>
          <w:color w:val="auto"/>
          <w:kern w:val="0"/>
          <w:sz w:val="22"/>
          <w:highlight w:val="none"/>
          <w:lang w:eastAsia="zh-CN"/>
        </w:rPr>
        <w:t>3000元</w:t>
      </w:r>
      <w:r>
        <w:rPr>
          <w:rFonts w:hint="eastAsia" w:ascii="宋体" w:hAnsi="宋体" w:eastAsia="宋体" w:cs="宋体"/>
          <w:color w:val="auto"/>
          <w:kern w:val="0"/>
          <w:sz w:val="22"/>
          <w:highlight w:val="none"/>
        </w:rPr>
        <w:t>。</w:t>
      </w:r>
    </w:p>
    <w:p w14:paraId="266801BB">
      <w:pPr>
        <w:spacing w:line="400" w:lineRule="exact"/>
        <w:ind w:firstLine="440" w:firstLineChars="200"/>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履约保证金支付方式：由</w:t>
      </w:r>
      <w:r>
        <w:rPr>
          <w:rFonts w:hint="eastAsia" w:ascii="宋体" w:hAnsi="宋体" w:eastAsia="宋体" w:cs="宋体"/>
          <w:color w:val="auto"/>
          <w:kern w:val="0"/>
          <w:sz w:val="22"/>
          <w:highlight w:val="none"/>
          <w:lang w:eastAsia="zh-CN"/>
        </w:rPr>
        <w:t>成交供应商</w:t>
      </w:r>
      <w:r>
        <w:rPr>
          <w:rFonts w:hint="eastAsia" w:ascii="宋体" w:hAnsi="宋体" w:eastAsia="宋体" w:cs="宋体"/>
          <w:color w:val="auto"/>
          <w:kern w:val="0"/>
          <w:sz w:val="22"/>
          <w:highlight w:val="none"/>
        </w:rPr>
        <w:t>在</w:t>
      </w:r>
      <w:r>
        <w:rPr>
          <w:rFonts w:hint="eastAsia" w:ascii="宋体" w:hAnsi="宋体" w:eastAsia="宋体" w:cs="宋体"/>
          <w:color w:val="auto"/>
          <w:spacing w:val="-6"/>
          <w:sz w:val="22"/>
          <w:highlight w:val="none"/>
        </w:rPr>
        <w:t>合同签订后5个工作日内，</w:t>
      </w:r>
      <w:r>
        <w:rPr>
          <w:rFonts w:hint="eastAsia" w:ascii="宋体" w:hAnsi="宋体" w:eastAsia="宋体" w:cs="宋体"/>
          <w:color w:val="auto"/>
          <w:sz w:val="22"/>
          <w:highlight w:val="none"/>
        </w:rPr>
        <w:t>以支票、汇票、本票或者金融机构、担保机构出具的保函等非现金形式</w:t>
      </w:r>
      <w:r>
        <w:rPr>
          <w:rFonts w:hint="eastAsia" w:ascii="宋体" w:hAnsi="宋体" w:eastAsia="宋体" w:cs="宋体"/>
          <w:color w:val="auto"/>
          <w:kern w:val="0"/>
          <w:sz w:val="22"/>
          <w:highlight w:val="none"/>
        </w:rPr>
        <w:t>向采购人缴纳。</w:t>
      </w:r>
    </w:p>
    <w:p w14:paraId="34952466">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（三）服务考核奖按“附件 </w:t>
      </w:r>
      <w:r>
        <w:rPr>
          <w:rFonts w:hint="eastAsia" w:ascii="宋体" w:hAnsi="宋体" w:eastAsia="宋体" w:cs="宋体"/>
          <w:b/>
          <w:bCs/>
          <w:color w:val="auto"/>
          <w:sz w:val="22"/>
          <w:highlight w:val="none"/>
        </w:rPr>
        <w:t xml:space="preserve">《理工学院校车接送服务安全考核办法》 </w:t>
      </w:r>
      <w:r>
        <w:rPr>
          <w:rFonts w:hint="eastAsia" w:ascii="宋体" w:hAnsi="宋体" w:eastAsia="宋体" w:cs="宋体"/>
          <w:color w:val="auto"/>
          <w:sz w:val="22"/>
          <w:highlight w:val="none"/>
        </w:rPr>
        <w:t>” 考核后按以下要求核算支付。考核分在70分（不含）以下，</w:t>
      </w:r>
      <w:r>
        <w:rPr>
          <w:rFonts w:hint="eastAsia" w:ascii="宋体" w:hAnsi="宋体" w:eastAsia="宋体" w:cs="宋体"/>
          <w:color w:val="auto"/>
          <w:sz w:val="22"/>
          <w:highlight w:val="none"/>
          <w:lang w:eastAsia="zh-CN"/>
        </w:rPr>
        <w:t>采购人</w:t>
      </w:r>
      <w:r>
        <w:rPr>
          <w:rFonts w:hint="eastAsia" w:ascii="宋体" w:hAnsi="宋体" w:eastAsia="宋体" w:cs="宋体"/>
          <w:color w:val="auto"/>
          <w:sz w:val="22"/>
          <w:highlight w:val="none"/>
        </w:rPr>
        <w:t>有权</w:t>
      </w:r>
      <w:r>
        <w:rPr>
          <w:rFonts w:hint="eastAsia" w:ascii="宋体" w:hAnsi="宋体" w:eastAsia="宋体" w:cs="宋体"/>
          <w:color w:val="auto"/>
          <w:sz w:val="22"/>
          <w:highlight w:val="none"/>
          <w:lang w:eastAsia="zh-CN"/>
        </w:rPr>
        <w:t>单方面</w:t>
      </w:r>
      <w:r>
        <w:rPr>
          <w:rFonts w:hint="eastAsia" w:ascii="宋体" w:hAnsi="宋体" w:eastAsia="宋体" w:cs="宋体"/>
          <w:color w:val="auto"/>
          <w:sz w:val="22"/>
          <w:highlight w:val="none"/>
        </w:rPr>
        <w:t>解除合同，</w:t>
      </w:r>
      <w:r>
        <w:rPr>
          <w:rFonts w:hint="eastAsia" w:ascii="宋体" w:hAnsi="宋体" w:eastAsia="宋体" w:cs="宋体"/>
          <w:color w:val="auto"/>
          <w:sz w:val="22"/>
          <w:highlight w:val="none"/>
          <w:lang w:val="en-US" w:eastAsia="zh-CN"/>
        </w:rPr>
        <w:t>做验收不合格处理</w:t>
      </w:r>
      <w:r>
        <w:rPr>
          <w:rFonts w:hint="eastAsia" w:ascii="宋体" w:hAnsi="宋体" w:eastAsia="宋体" w:cs="宋体"/>
          <w:color w:val="auto"/>
          <w:sz w:val="22"/>
          <w:highlight w:val="none"/>
        </w:rPr>
        <w:t>。考核分在70分（含）</w:t>
      </w:r>
      <w:r>
        <w:rPr>
          <w:rFonts w:hint="eastAsia" w:ascii="宋体" w:hAnsi="宋体" w:eastAsia="宋体" w:cs="宋体"/>
          <w:color w:val="auto"/>
          <w:sz w:val="22"/>
          <w:highlight w:val="none"/>
          <w:lang w:val="en-US" w:eastAsia="zh-CN"/>
        </w:rPr>
        <w:t>-80分（</w:t>
      </w:r>
      <w:r>
        <w:rPr>
          <w:rFonts w:hint="eastAsia" w:ascii="宋体" w:hAnsi="宋体" w:eastAsia="宋体" w:cs="宋体"/>
          <w:color w:val="auto"/>
          <w:sz w:val="22"/>
          <w:highlight w:val="none"/>
        </w:rPr>
        <w:t>不含</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lang w:eastAsia="zh-CN"/>
        </w:rPr>
        <w:t>扣除</w:t>
      </w:r>
      <w:r>
        <w:rPr>
          <w:rFonts w:hint="eastAsia" w:ascii="宋体" w:hAnsi="宋体" w:eastAsia="宋体" w:cs="宋体"/>
          <w:color w:val="auto"/>
          <w:sz w:val="22"/>
          <w:highlight w:val="none"/>
          <w:lang w:val="en-US" w:eastAsia="zh-CN"/>
        </w:rPr>
        <w:t>总支付金额</w:t>
      </w:r>
      <w:r>
        <w:rPr>
          <w:rFonts w:hint="eastAsia" w:ascii="宋体" w:hAnsi="宋体" w:eastAsia="宋体" w:cs="宋体"/>
          <w:color w:val="auto"/>
          <w:sz w:val="22"/>
          <w:highlight w:val="none"/>
        </w:rPr>
        <w:t>20%</w:t>
      </w:r>
      <w:r>
        <w:rPr>
          <w:rFonts w:hint="eastAsia" w:ascii="宋体" w:hAnsi="宋体" w:eastAsia="宋体" w:cs="宋体"/>
          <w:color w:val="auto"/>
          <w:sz w:val="22"/>
          <w:highlight w:val="none"/>
          <w:lang w:val="en-US" w:eastAsia="zh-CN"/>
        </w:rPr>
        <w:t>违约金</w:t>
      </w:r>
      <w:r>
        <w:rPr>
          <w:rFonts w:hint="eastAsia" w:ascii="宋体" w:hAnsi="宋体" w:eastAsia="宋体" w:cs="宋体"/>
          <w:color w:val="auto"/>
          <w:sz w:val="22"/>
          <w:highlight w:val="none"/>
        </w:rPr>
        <w:t>；在80分（含）</w:t>
      </w:r>
      <w:r>
        <w:rPr>
          <w:rFonts w:hint="eastAsia" w:ascii="宋体" w:hAnsi="宋体" w:eastAsia="宋体" w:cs="宋体"/>
          <w:color w:val="auto"/>
          <w:sz w:val="22"/>
          <w:highlight w:val="none"/>
          <w:lang w:val="en-US" w:eastAsia="zh-CN"/>
        </w:rPr>
        <w:t>-85分（</w:t>
      </w:r>
      <w:r>
        <w:rPr>
          <w:rFonts w:hint="eastAsia" w:ascii="宋体" w:hAnsi="宋体" w:eastAsia="宋体" w:cs="宋体"/>
          <w:color w:val="auto"/>
          <w:sz w:val="22"/>
          <w:highlight w:val="none"/>
        </w:rPr>
        <w:t>不含</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lang w:eastAsia="zh-CN"/>
        </w:rPr>
        <w:t>扣除</w:t>
      </w:r>
      <w:r>
        <w:rPr>
          <w:rFonts w:hint="eastAsia" w:ascii="宋体" w:hAnsi="宋体" w:eastAsia="宋体" w:cs="宋体"/>
          <w:color w:val="auto"/>
          <w:sz w:val="22"/>
          <w:highlight w:val="none"/>
          <w:lang w:val="en-US" w:eastAsia="zh-CN"/>
        </w:rPr>
        <w:t>总支付金额</w:t>
      </w:r>
      <w:r>
        <w:rPr>
          <w:rFonts w:hint="eastAsia" w:ascii="宋体" w:hAnsi="宋体" w:eastAsia="宋体" w:cs="宋体"/>
          <w:color w:val="auto"/>
          <w:sz w:val="22"/>
          <w:highlight w:val="none"/>
        </w:rPr>
        <w:t>10%</w:t>
      </w:r>
      <w:r>
        <w:rPr>
          <w:rFonts w:hint="eastAsia" w:ascii="宋体" w:hAnsi="宋体" w:eastAsia="宋体" w:cs="宋体"/>
          <w:color w:val="auto"/>
          <w:sz w:val="22"/>
          <w:highlight w:val="none"/>
          <w:lang w:val="en-US" w:eastAsia="zh-CN"/>
        </w:rPr>
        <w:t>违约金</w:t>
      </w:r>
      <w:r>
        <w:rPr>
          <w:rFonts w:hint="eastAsia" w:ascii="宋体" w:hAnsi="宋体" w:eastAsia="宋体" w:cs="宋体"/>
          <w:color w:val="auto"/>
          <w:sz w:val="22"/>
          <w:highlight w:val="none"/>
        </w:rPr>
        <w:t>，在</w:t>
      </w:r>
      <w:r>
        <w:rPr>
          <w:rFonts w:hint="eastAsia" w:ascii="宋体" w:hAnsi="宋体" w:eastAsia="宋体" w:cs="宋体"/>
          <w:color w:val="auto"/>
          <w:sz w:val="22"/>
          <w:highlight w:val="none"/>
          <w:lang w:val="en-US" w:eastAsia="zh-CN"/>
        </w:rPr>
        <w:t>85</w:t>
      </w:r>
      <w:r>
        <w:rPr>
          <w:rFonts w:hint="eastAsia" w:ascii="宋体" w:hAnsi="宋体" w:eastAsia="宋体" w:cs="宋体"/>
          <w:color w:val="auto"/>
          <w:sz w:val="22"/>
          <w:highlight w:val="none"/>
        </w:rPr>
        <w:t>分（含）</w:t>
      </w:r>
      <w:r>
        <w:rPr>
          <w:rFonts w:hint="eastAsia" w:ascii="宋体" w:hAnsi="宋体" w:eastAsia="宋体" w:cs="宋体"/>
          <w:color w:val="auto"/>
          <w:sz w:val="22"/>
          <w:highlight w:val="none"/>
          <w:lang w:val="en-US" w:eastAsia="zh-CN"/>
        </w:rPr>
        <w:t>-90分（</w:t>
      </w:r>
      <w:r>
        <w:rPr>
          <w:rFonts w:hint="eastAsia" w:ascii="宋体" w:hAnsi="宋体" w:eastAsia="宋体" w:cs="宋体"/>
          <w:color w:val="auto"/>
          <w:sz w:val="22"/>
          <w:highlight w:val="none"/>
        </w:rPr>
        <w:t>不含</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lang w:eastAsia="zh-CN"/>
        </w:rPr>
        <w:t>扣除</w:t>
      </w:r>
      <w:r>
        <w:rPr>
          <w:rFonts w:hint="eastAsia" w:ascii="宋体" w:hAnsi="宋体" w:eastAsia="宋体" w:cs="宋体"/>
          <w:color w:val="auto"/>
          <w:sz w:val="22"/>
          <w:highlight w:val="none"/>
          <w:lang w:val="en-US" w:eastAsia="zh-CN"/>
        </w:rPr>
        <w:t>总支付金额</w:t>
      </w:r>
      <w:r>
        <w:rPr>
          <w:rFonts w:hint="eastAsia" w:ascii="宋体" w:hAnsi="宋体" w:eastAsia="宋体" w:cs="宋体"/>
          <w:color w:val="auto"/>
          <w:sz w:val="22"/>
          <w:highlight w:val="none"/>
        </w:rPr>
        <w:t>5%</w:t>
      </w:r>
      <w:r>
        <w:rPr>
          <w:rFonts w:hint="eastAsia" w:ascii="宋体" w:hAnsi="宋体" w:eastAsia="宋体" w:cs="宋体"/>
          <w:color w:val="auto"/>
          <w:sz w:val="22"/>
          <w:highlight w:val="none"/>
          <w:lang w:val="en-US" w:eastAsia="zh-CN"/>
        </w:rPr>
        <w:t>违约金</w:t>
      </w:r>
      <w:r>
        <w:rPr>
          <w:rFonts w:hint="eastAsia" w:ascii="宋体" w:hAnsi="宋体" w:eastAsia="宋体" w:cs="宋体"/>
          <w:color w:val="auto"/>
          <w:sz w:val="22"/>
          <w:highlight w:val="none"/>
        </w:rPr>
        <w:t>，90分（含）以上为优秀。</w:t>
      </w:r>
    </w:p>
    <w:p w14:paraId="7FCDDE18">
      <w:pPr>
        <w:spacing w:line="360" w:lineRule="exact"/>
        <w:jc w:val="center"/>
        <w:rPr>
          <w:rFonts w:hint="eastAsia" w:ascii="宋体" w:hAnsi="宋体" w:eastAsia="宋体" w:cs="宋体"/>
          <w:b/>
          <w:bCs/>
          <w:color w:val="auto"/>
          <w:kern w:val="0"/>
          <w:sz w:val="22"/>
          <w:highlight w:val="none"/>
        </w:rPr>
      </w:pPr>
      <w:r>
        <w:rPr>
          <w:rFonts w:hint="eastAsia" w:ascii="宋体" w:hAnsi="宋体" w:eastAsia="宋体" w:cs="宋体"/>
          <w:b/>
          <w:bCs/>
          <w:color w:val="auto"/>
          <w:sz w:val="22"/>
          <w:highlight w:val="none"/>
        </w:rPr>
        <w:t xml:space="preserve">理工学院校车接送服务安全考核办法  </w:t>
      </w:r>
      <w:r>
        <w:rPr>
          <w:rFonts w:hint="eastAsia" w:ascii="宋体" w:hAnsi="宋体" w:eastAsia="宋体" w:cs="宋体"/>
          <w:b/>
          <w:bCs/>
          <w:color w:val="auto"/>
          <w:kern w:val="0"/>
          <w:sz w:val="22"/>
          <w:highlight w:val="none"/>
        </w:rPr>
        <w:t xml:space="preserve"> </w:t>
      </w:r>
    </w:p>
    <w:p w14:paraId="75C549CA">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为规范校车运营行为、提高运营质量、保障校车运营安全，根</w:t>
      </w:r>
      <w:r>
        <w:rPr>
          <w:rFonts w:hint="eastAsia" w:ascii="宋体" w:hAnsi="宋体" w:eastAsia="宋体" w:cs="宋体"/>
          <w:color w:val="auto"/>
          <w:sz w:val="22"/>
          <w:highlight w:val="none"/>
          <w:lang w:eastAsia="zh-CN"/>
        </w:rPr>
        <w:t>据</w:t>
      </w:r>
      <w:r>
        <w:rPr>
          <w:rFonts w:hint="eastAsia" w:ascii="宋体" w:hAnsi="宋体" w:eastAsia="宋体" w:cs="宋体"/>
          <w:color w:val="auto"/>
          <w:sz w:val="22"/>
          <w:highlight w:val="none"/>
        </w:rPr>
        <w:t>《校车安全管理条例》（国务院令第167号）和省、市校车安全管理工作的文件精神，结合我校实际，特制定理工学院校车接送服务安全考核办法。</w:t>
      </w:r>
    </w:p>
    <w:p w14:paraId="460E5EAA">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一、考核细则</w:t>
      </w:r>
    </w:p>
    <w:p w14:paraId="5756E846">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理工学院校车考核采取日常监管考核与满意度测评相结合的方式进行。安全服务考核为日常监管考核。</w:t>
      </w:r>
    </w:p>
    <w:p w14:paraId="35D5E88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（一）日常监管考核</w:t>
      </w:r>
    </w:p>
    <w:p w14:paraId="3152DF7E">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1.定期与不定期组织开展日常检查，如发现有下列问题的，每项每次扣5分，并督促至整改为止。</w:t>
      </w:r>
    </w:p>
    <w:p w14:paraId="5295DC6C">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（1）使用未获校车使用许可车辆接送</w:t>
      </w:r>
      <w:r>
        <w:rPr>
          <w:rFonts w:hint="eastAsia" w:ascii="宋体" w:hAnsi="宋体" w:eastAsia="宋体" w:cs="宋体"/>
          <w:color w:val="auto"/>
          <w:sz w:val="22"/>
          <w:highlight w:val="none"/>
          <w:lang w:eastAsia="zh-CN"/>
        </w:rPr>
        <w:t>师生</w:t>
      </w:r>
      <w:r>
        <w:rPr>
          <w:rFonts w:hint="eastAsia" w:ascii="宋体" w:hAnsi="宋体" w:eastAsia="宋体" w:cs="宋体"/>
          <w:color w:val="auto"/>
          <w:sz w:val="22"/>
          <w:highlight w:val="none"/>
        </w:rPr>
        <w:t>；</w:t>
      </w:r>
    </w:p>
    <w:p w14:paraId="4E672E7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（2）校车驾驶员不符合《校车安全管理条例》的规定或未取得驾驶资格；</w:t>
      </w:r>
    </w:p>
    <w:p w14:paraId="30FE817F">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（3）校车接送师生人数超过核定人数；</w:t>
      </w:r>
    </w:p>
    <w:p w14:paraId="35A35661">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（4）校车在运载</w:t>
      </w:r>
      <w:r>
        <w:rPr>
          <w:rFonts w:hint="eastAsia" w:ascii="宋体" w:hAnsi="宋体" w:eastAsia="宋体" w:cs="宋体"/>
          <w:color w:val="auto"/>
          <w:sz w:val="22"/>
          <w:highlight w:val="none"/>
          <w:lang w:eastAsia="zh-CN"/>
        </w:rPr>
        <w:t>师生</w:t>
      </w:r>
      <w:r>
        <w:rPr>
          <w:rFonts w:hint="eastAsia" w:ascii="宋体" w:hAnsi="宋体" w:eastAsia="宋体" w:cs="宋体"/>
          <w:color w:val="auto"/>
          <w:sz w:val="22"/>
          <w:highlight w:val="none"/>
        </w:rPr>
        <w:t>过程中，存在允许除驾驶人以外的人员乘坐；</w:t>
      </w:r>
    </w:p>
    <w:p w14:paraId="47CD053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（5）乘坐校车师生未系安全带；</w:t>
      </w:r>
    </w:p>
    <w:p w14:paraId="1ED1028A">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（6）校车行驶线路未按照专用校车审批线路运行；</w:t>
      </w:r>
    </w:p>
    <w:p w14:paraId="6E7F4A39">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（7）校车未装备逃生锤、急救箱、具有行驶记录功能的卫星定位装置；</w:t>
      </w:r>
    </w:p>
    <w:p w14:paraId="30B54C57">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（8）急救箱内药品过期或未准备；</w:t>
      </w:r>
    </w:p>
    <w:p w14:paraId="22F10C87">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（9）校车没有配备灭火器或者灭火器失效；</w:t>
      </w:r>
    </w:p>
    <w:p w14:paraId="62B15695">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（10）校车驾驶员不能熟练使用灭火器；</w:t>
      </w:r>
    </w:p>
    <w:p w14:paraId="4648F0E4">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（11）校车服务单位未建立健全安全管理制度、没有与学校签订安全管理责任书；</w:t>
      </w:r>
    </w:p>
    <w:p w14:paraId="0A020649">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（12）校车安全管理人员、驾驶员不知晓《校车安全管理条例》基本内容。</w:t>
      </w:r>
    </w:p>
    <w:p w14:paraId="1B23D363">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2.市级公安、交通、教育、安监等部门日常督查，发现有违反《校车安全管理条例》的，每项扣10分。</w:t>
      </w:r>
    </w:p>
    <w:p w14:paraId="25DE77FE">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3.被省、市政府平安暗访扣分的，每次扣10分。</w:t>
      </w:r>
    </w:p>
    <w:p w14:paraId="6F8AD715">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4.发生安全事故一起造成师生受伤的，扣20分；发生安全事故一起并造成1名师生以上死亡的，扣40分并处没收当月结算费用，其他责任自行负责。</w:t>
      </w:r>
    </w:p>
    <w:p w14:paraId="1618A3A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（二）满意度测评</w:t>
      </w:r>
    </w:p>
    <w:p w14:paraId="17D5A9EB">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服务期结束后</w:t>
      </w:r>
      <w:r>
        <w:rPr>
          <w:rFonts w:hint="eastAsia" w:ascii="宋体" w:hAnsi="宋体" w:eastAsia="宋体" w:cs="宋体"/>
          <w:color w:val="auto"/>
          <w:sz w:val="22"/>
          <w:highlight w:val="none"/>
        </w:rPr>
        <w:t>进行测评</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见附件</w:t>
      </w:r>
      <w:r>
        <w:rPr>
          <w:rFonts w:hint="eastAsia" w:ascii="宋体" w:hAnsi="宋体" w:eastAsia="宋体" w:cs="宋体"/>
          <w:color w:val="auto"/>
          <w:sz w:val="22"/>
          <w:highlight w:val="none"/>
        </w:rPr>
        <w:t>理工学院校车接送服务安全考核测评表</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w:t>
      </w:r>
    </w:p>
    <w:p w14:paraId="21274759">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三、结算方式</w:t>
      </w:r>
    </w:p>
    <w:p w14:paraId="51D28A7D">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按实际趟数结算。</w:t>
      </w:r>
    </w:p>
    <w:p w14:paraId="7809C45A">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附件：理工学院校车接送服务安全考核测评表</w:t>
      </w:r>
    </w:p>
    <w:p w14:paraId="3C6FB031">
      <w:pPr>
        <w:spacing w:line="360" w:lineRule="exact"/>
        <w:jc w:val="center"/>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理工学院校车接送服务安全考核测评表</w:t>
      </w:r>
    </w:p>
    <w:p w14:paraId="7FC24EBC">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p>
    <w:tbl>
      <w:tblPr>
        <w:tblStyle w:val="10"/>
        <w:tblpPr w:leftFromText="180" w:rightFromText="180" w:vertAnchor="text" w:horzAnchor="margin" w:tblpY="13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1717"/>
        <w:gridCol w:w="1637"/>
        <w:gridCol w:w="1608"/>
        <w:gridCol w:w="1757"/>
        <w:gridCol w:w="1502"/>
      </w:tblGrid>
      <w:tr w14:paraId="28BB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2" w:type="pct"/>
            <w:vMerge w:val="restart"/>
            <w:noWrap w:val="0"/>
            <w:vAlign w:val="center"/>
          </w:tcPr>
          <w:p w14:paraId="51C81956">
            <w:pPr>
              <w:spacing w:line="360" w:lineRule="exact"/>
              <w:jc w:val="center"/>
              <w:rPr>
                <w:rFonts w:hint="eastAsia" w:ascii="宋体" w:hAnsi="宋体" w:eastAsia="宋体" w:cs="宋体"/>
                <w:color w:val="auto"/>
                <w:sz w:val="22"/>
                <w:highlight w:val="none"/>
              </w:rPr>
            </w:pPr>
            <w:bookmarkStart w:id="15" w:name="_GoBack"/>
            <w:r>
              <w:rPr>
                <w:rFonts w:hint="eastAsia" w:ascii="宋体" w:hAnsi="宋体" w:eastAsia="宋体" w:cs="宋体"/>
                <w:color w:val="auto"/>
                <w:sz w:val="22"/>
                <w:highlight w:val="none"/>
              </w:rPr>
              <w:t>测评项目</w:t>
            </w:r>
          </w:p>
        </w:tc>
        <w:tc>
          <w:tcPr>
            <w:tcW w:w="862" w:type="pct"/>
            <w:noWrap w:val="0"/>
            <w:vAlign w:val="center"/>
          </w:tcPr>
          <w:p w14:paraId="06414DFD">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安全行车</w:t>
            </w:r>
          </w:p>
        </w:tc>
        <w:tc>
          <w:tcPr>
            <w:tcW w:w="822" w:type="pct"/>
            <w:noWrap w:val="0"/>
            <w:vAlign w:val="center"/>
          </w:tcPr>
          <w:p w14:paraId="0A89B1C7">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车辆管理</w:t>
            </w:r>
          </w:p>
        </w:tc>
        <w:tc>
          <w:tcPr>
            <w:tcW w:w="807" w:type="pct"/>
            <w:noWrap w:val="0"/>
            <w:vAlign w:val="center"/>
          </w:tcPr>
          <w:p w14:paraId="1FC34DAE">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驾驶员管理</w:t>
            </w:r>
          </w:p>
        </w:tc>
        <w:tc>
          <w:tcPr>
            <w:tcW w:w="882" w:type="pct"/>
            <w:noWrap w:val="0"/>
            <w:vAlign w:val="center"/>
          </w:tcPr>
          <w:p w14:paraId="32A36CC6">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服务态度</w:t>
            </w:r>
          </w:p>
        </w:tc>
        <w:tc>
          <w:tcPr>
            <w:tcW w:w="751" w:type="pct"/>
            <w:noWrap w:val="0"/>
            <w:vAlign w:val="center"/>
          </w:tcPr>
          <w:p w14:paraId="2F0569FE">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综合评价</w:t>
            </w:r>
          </w:p>
        </w:tc>
      </w:tr>
      <w:tr w14:paraId="0E4B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2" w:type="pct"/>
            <w:vMerge w:val="continue"/>
            <w:noWrap w:val="0"/>
            <w:vAlign w:val="center"/>
          </w:tcPr>
          <w:p w14:paraId="2BFC54E0">
            <w:pPr>
              <w:spacing w:line="360" w:lineRule="exact"/>
              <w:jc w:val="center"/>
              <w:rPr>
                <w:rFonts w:hint="eastAsia" w:ascii="宋体" w:hAnsi="宋体" w:eastAsia="宋体" w:cs="宋体"/>
                <w:color w:val="auto"/>
                <w:sz w:val="22"/>
                <w:highlight w:val="none"/>
              </w:rPr>
            </w:pPr>
          </w:p>
        </w:tc>
        <w:tc>
          <w:tcPr>
            <w:tcW w:w="862" w:type="pct"/>
            <w:noWrap w:val="0"/>
            <w:vAlign w:val="center"/>
          </w:tcPr>
          <w:p w14:paraId="22F00FBD">
            <w:pPr>
              <w:spacing w:line="360" w:lineRule="exact"/>
              <w:rPr>
                <w:rFonts w:hint="eastAsia" w:ascii="宋体" w:hAnsi="宋体" w:eastAsia="宋体" w:cs="宋体"/>
                <w:color w:val="auto"/>
                <w:sz w:val="22"/>
                <w:highlight w:val="none"/>
              </w:rPr>
            </w:pPr>
          </w:p>
        </w:tc>
        <w:tc>
          <w:tcPr>
            <w:tcW w:w="822" w:type="pct"/>
            <w:noWrap w:val="0"/>
            <w:vAlign w:val="center"/>
          </w:tcPr>
          <w:p w14:paraId="3E29ABA9">
            <w:pPr>
              <w:spacing w:line="360" w:lineRule="exact"/>
              <w:rPr>
                <w:rFonts w:hint="eastAsia" w:ascii="宋体" w:hAnsi="宋体" w:eastAsia="宋体" w:cs="宋体"/>
                <w:color w:val="auto"/>
                <w:sz w:val="22"/>
                <w:highlight w:val="none"/>
              </w:rPr>
            </w:pPr>
          </w:p>
        </w:tc>
        <w:tc>
          <w:tcPr>
            <w:tcW w:w="807" w:type="pct"/>
            <w:noWrap w:val="0"/>
            <w:vAlign w:val="center"/>
          </w:tcPr>
          <w:p w14:paraId="617A87FE">
            <w:pPr>
              <w:spacing w:line="360" w:lineRule="exact"/>
              <w:rPr>
                <w:rFonts w:hint="eastAsia" w:ascii="宋体" w:hAnsi="宋体" w:eastAsia="宋体" w:cs="宋体"/>
                <w:color w:val="auto"/>
                <w:sz w:val="22"/>
                <w:highlight w:val="none"/>
              </w:rPr>
            </w:pPr>
          </w:p>
        </w:tc>
        <w:tc>
          <w:tcPr>
            <w:tcW w:w="882" w:type="pct"/>
            <w:noWrap w:val="0"/>
            <w:vAlign w:val="center"/>
          </w:tcPr>
          <w:p w14:paraId="7A1276D7">
            <w:pPr>
              <w:spacing w:line="360" w:lineRule="exact"/>
              <w:rPr>
                <w:rFonts w:hint="eastAsia" w:ascii="宋体" w:hAnsi="宋体" w:eastAsia="宋体" w:cs="宋体"/>
                <w:color w:val="auto"/>
                <w:sz w:val="22"/>
                <w:highlight w:val="none"/>
              </w:rPr>
            </w:pPr>
          </w:p>
        </w:tc>
        <w:tc>
          <w:tcPr>
            <w:tcW w:w="751" w:type="pct"/>
            <w:noWrap w:val="0"/>
            <w:vAlign w:val="center"/>
          </w:tcPr>
          <w:p w14:paraId="07922CA0">
            <w:pPr>
              <w:spacing w:line="360" w:lineRule="exact"/>
              <w:rPr>
                <w:rFonts w:hint="eastAsia" w:ascii="宋体" w:hAnsi="宋体" w:eastAsia="宋体" w:cs="宋体"/>
                <w:color w:val="auto"/>
                <w:sz w:val="22"/>
                <w:highlight w:val="none"/>
              </w:rPr>
            </w:pPr>
          </w:p>
        </w:tc>
      </w:tr>
      <w:tr w14:paraId="25A9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72" w:type="pct"/>
            <w:noWrap w:val="0"/>
            <w:vAlign w:val="center"/>
          </w:tcPr>
          <w:p w14:paraId="650C5B84">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服务工作小结</w:t>
            </w:r>
          </w:p>
        </w:tc>
        <w:tc>
          <w:tcPr>
            <w:tcW w:w="4127" w:type="pct"/>
            <w:gridSpan w:val="5"/>
            <w:noWrap w:val="0"/>
            <w:vAlign w:val="top"/>
          </w:tcPr>
          <w:p w14:paraId="5220C2E8">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结合校车</w:t>
            </w:r>
            <w:r>
              <w:rPr>
                <w:rFonts w:hint="eastAsia" w:ascii="宋体" w:hAnsi="宋体" w:eastAsia="宋体" w:cs="宋体"/>
                <w:color w:val="auto"/>
                <w:sz w:val="22"/>
                <w:highlight w:val="none"/>
                <w:lang w:val="en-US" w:eastAsia="zh-CN"/>
              </w:rPr>
              <w:t>服务</w:t>
            </w:r>
            <w:r>
              <w:rPr>
                <w:rFonts w:hint="eastAsia" w:ascii="宋体" w:hAnsi="宋体" w:eastAsia="宋体" w:cs="宋体"/>
                <w:color w:val="auto"/>
                <w:sz w:val="22"/>
                <w:highlight w:val="none"/>
              </w:rPr>
              <w:t>要求，从安全行车、车辆管理、驾驶员管理</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lang w:val="en-US" w:eastAsia="zh-CN"/>
              </w:rPr>
              <w:t>服务态度和综合评价</w:t>
            </w:r>
            <w:r>
              <w:rPr>
                <w:rFonts w:hint="eastAsia" w:ascii="宋体" w:hAnsi="宋体" w:eastAsia="宋体" w:cs="宋体"/>
                <w:color w:val="auto"/>
                <w:sz w:val="22"/>
                <w:highlight w:val="none"/>
              </w:rPr>
              <w:t>等方面进行小结：</w:t>
            </w:r>
          </w:p>
        </w:tc>
      </w:tr>
      <w:tr w14:paraId="489F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872" w:type="pct"/>
            <w:noWrap w:val="0"/>
            <w:vAlign w:val="center"/>
          </w:tcPr>
          <w:p w14:paraId="1E9661A2">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服务异常情况</w:t>
            </w:r>
          </w:p>
        </w:tc>
        <w:tc>
          <w:tcPr>
            <w:tcW w:w="4127" w:type="pct"/>
            <w:gridSpan w:val="5"/>
            <w:noWrap w:val="0"/>
            <w:vAlign w:val="center"/>
          </w:tcPr>
          <w:p w14:paraId="377E6009">
            <w:pPr>
              <w:spacing w:line="360" w:lineRule="exact"/>
              <w:rPr>
                <w:rFonts w:hint="eastAsia" w:ascii="宋体" w:hAnsi="宋体" w:eastAsia="宋体" w:cs="宋体"/>
                <w:color w:val="auto"/>
                <w:sz w:val="22"/>
                <w:highlight w:val="none"/>
              </w:rPr>
            </w:pPr>
          </w:p>
          <w:p w14:paraId="5E0F91DF">
            <w:pPr>
              <w:spacing w:line="360" w:lineRule="exact"/>
              <w:rPr>
                <w:rFonts w:hint="eastAsia" w:ascii="宋体" w:hAnsi="宋体" w:eastAsia="宋体" w:cs="宋体"/>
                <w:color w:val="auto"/>
                <w:sz w:val="22"/>
                <w:highlight w:val="none"/>
              </w:rPr>
            </w:pPr>
          </w:p>
          <w:p w14:paraId="554F7B89">
            <w:pPr>
              <w:spacing w:line="360" w:lineRule="exact"/>
              <w:rPr>
                <w:rFonts w:hint="eastAsia" w:ascii="宋体" w:hAnsi="宋体" w:eastAsia="宋体" w:cs="宋体"/>
                <w:color w:val="auto"/>
                <w:sz w:val="22"/>
                <w:highlight w:val="none"/>
              </w:rPr>
            </w:pPr>
          </w:p>
          <w:p w14:paraId="02E6B68E">
            <w:pPr>
              <w:spacing w:line="360" w:lineRule="exact"/>
              <w:rPr>
                <w:rFonts w:hint="eastAsia" w:ascii="宋体" w:hAnsi="宋体" w:eastAsia="宋体" w:cs="宋体"/>
                <w:color w:val="auto"/>
                <w:sz w:val="22"/>
                <w:highlight w:val="none"/>
              </w:rPr>
            </w:pPr>
          </w:p>
        </w:tc>
      </w:tr>
      <w:tr w14:paraId="06E4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72" w:type="pct"/>
            <w:noWrap w:val="0"/>
            <w:vAlign w:val="center"/>
          </w:tcPr>
          <w:p w14:paraId="5CE0DE2A">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改进措施及建议</w:t>
            </w:r>
          </w:p>
        </w:tc>
        <w:tc>
          <w:tcPr>
            <w:tcW w:w="4127" w:type="pct"/>
            <w:gridSpan w:val="5"/>
            <w:noWrap w:val="0"/>
            <w:vAlign w:val="center"/>
          </w:tcPr>
          <w:p w14:paraId="7F7D08FF">
            <w:pPr>
              <w:spacing w:line="360" w:lineRule="exact"/>
              <w:rPr>
                <w:rFonts w:hint="eastAsia" w:ascii="宋体" w:hAnsi="宋体" w:eastAsia="宋体" w:cs="宋体"/>
                <w:color w:val="auto"/>
                <w:sz w:val="22"/>
                <w:highlight w:val="none"/>
              </w:rPr>
            </w:pPr>
          </w:p>
          <w:p w14:paraId="5C0839A7">
            <w:pPr>
              <w:spacing w:line="360" w:lineRule="exact"/>
              <w:rPr>
                <w:rFonts w:hint="eastAsia" w:ascii="宋体" w:hAnsi="宋体" w:eastAsia="宋体" w:cs="宋体"/>
                <w:color w:val="auto"/>
                <w:sz w:val="22"/>
                <w:highlight w:val="none"/>
              </w:rPr>
            </w:pPr>
          </w:p>
          <w:p w14:paraId="3F2BEEB6">
            <w:pPr>
              <w:spacing w:line="360" w:lineRule="exact"/>
              <w:rPr>
                <w:rFonts w:hint="eastAsia" w:ascii="宋体" w:hAnsi="宋体" w:eastAsia="宋体" w:cs="宋体"/>
                <w:color w:val="auto"/>
                <w:sz w:val="22"/>
                <w:highlight w:val="none"/>
              </w:rPr>
            </w:pPr>
          </w:p>
          <w:p w14:paraId="526E7F54">
            <w:pPr>
              <w:spacing w:line="360" w:lineRule="exact"/>
              <w:rPr>
                <w:rFonts w:hint="eastAsia" w:ascii="宋体" w:hAnsi="宋体" w:eastAsia="宋体" w:cs="宋体"/>
                <w:color w:val="auto"/>
                <w:sz w:val="22"/>
                <w:highlight w:val="none"/>
              </w:rPr>
            </w:pPr>
          </w:p>
        </w:tc>
      </w:tr>
      <w:tr w14:paraId="5FC6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72" w:type="pct"/>
            <w:noWrap w:val="0"/>
            <w:vAlign w:val="center"/>
          </w:tcPr>
          <w:p w14:paraId="482C4CED">
            <w:pPr>
              <w:spacing w:line="3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考核部门</w:t>
            </w:r>
            <w:r>
              <w:rPr>
                <w:rFonts w:hint="eastAsia" w:ascii="宋体" w:hAnsi="宋体" w:eastAsia="宋体" w:cs="宋体"/>
                <w:color w:val="auto"/>
                <w:sz w:val="22"/>
                <w:highlight w:val="none"/>
              </w:rPr>
              <w:t>意见</w:t>
            </w:r>
          </w:p>
        </w:tc>
        <w:tc>
          <w:tcPr>
            <w:tcW w:w="4127" w:type="pct"/>
            <w:gridSpan w:val="5"/>
            <w:noWrap w:val="0"/>
            <w:vAlign w:val="center"/>
          </w:tcPr>
          <w:p w14:paraId="17E2AF34">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   </w:t>
            </w:r>
          </w:p>
          <w:p w14:paraId="6253605B">
            <w:pPr>
              <w:spacing w:line="360" w:lineRule="exact"/>
              <w:rPr>
                <w:rFonts w:hint="eastAsia" w:ascii="宋体" w:hAnsi="宋体" w:eastAsia="宋体" w:cs="宋体"/>
                <w:color w:val="auto"/>
                <w:sz w:val="22"/>
                <w:highlight w:val="none"/>
              </w:rPr>
            </w:pPr>
          </w:p>
          <w:p w14:paraId="5B11013A">
            <w:pPr>
              <w:spacing w:line="360" w:lineRule="exact"/>
              <w:rPr>
                <w:rFonts w:hint="eastAsia" w:ascii="宋体" w:hAnsi="宋体" w:eastAsia="宋体" w:cs="宋体"/>
                <w:color w:val="auto"/>
                <w:sz w:val="22"/>
                <w:highlight w:val="none"/>
              </w:rPr>
            </w:pPr>
          </w:p>
          <w:p w14:paraId="05474FD8">
            <w:pPr>
              <w:spacing w:line="36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考核部门</w:t>
            </w:r>
            <w:r>
              <w:rPr>
                <w:rFonts w:hint="eastAsia" w:ascii="宋体" w:hAnsi="宋体" w:eastAsia="宋体" w:cs="宋体"/>
                <w:color w:val="auto"/>
                <w:sz w:val="22"/>
                <w:highlight w:val="none"/>
              </w:rPr>
              <w:t xml:space="preserve">签字：     </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 xml:space="preserve">    年  月  日</w:t>
            </w:r>
          </w:p>
        </w:tc>
      </w:tr>
      <w:bookmarkEnd w:id="15"/>
    </w:tbl>
    <w:p w14:paraId="6E341A12">
      <w:pPr>
        <w:spacing w:line="360" w:lineRule="exact"/>
        <w:rPr>
          <w:rFonts w:hint="eastAsia" w:ascii="宋体" w:hAnsi="宋体" w:eastAsia="宋体" w:cs="宋体"/>
          <w:color w:val="auto"/>
          <w:sz w:val="22"/>
          <w:highlight w:val="none"/>
        </w:rPr>
      </w:pPr>
    </w:p>
    <w:p w14:paraId="4C88CDF7">
      <w:pPr>
        <w:spacing w:line="360" w:lineRule="exact"/>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填报人：                                      联系电话：</w:t>
      </w:r>
    </w:p>
    <w:p w14:paraId="23DD0D2F">
      <w:pPr>
        <w:pStyle w:val="4"/>
        <w:spacing w:line="360" w:lineRule="exact"/>
        <w:ind w:left="418" w:hanging="418"/>
        <w:rPr>
          <w:rFonts w:hint="eastAsia" w:ascii="宋体" w:hAnsi="宋体" w:eastAsia="宋体" w:cs="宋体"/>
          <w:b/>
          <w:bCs/>
          <w:color w:val="auto"/>
          <w:spacing w:val="-6"/>
          <w:sz w:val="22"/>
          <w:highlight w:val="none"/>
        </w:rPr>
      </w:pPr>
    </w:p>
    <w:p w14:paraId="14AE3A33">
      <w:pPr>
        <w:pStyle w:val="4"/>
        <w:spacing w:line="360" w:lineRule="exact"/>
        <w:ind w:left="418" w:hanging="418"/>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四、其他</w:t>
      </w:r>
    </w:p>
    <w:p w14:paraId="2979503C">
      <w:pPr>
        <w:snapToGrid w:val="0"/>
        <w:spacing w:line="360" w:lineRule="exact"/>
        <w:ind w:firstLine="418"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1.除</w:t>
      </w:r>
      <w:r>
        <w:rPr>
          <w:rFonts w:hint="eastAsia" w:ascii="宋体" w:hAnsi="宋体" w:eastAsia="宋体" w:cs="宋体"/>
          <w:b/>
          <w:bCs/>
          <w:color w:val="auto"/>
          <w:spacing w:val="-6"/>
          <w:sz w:val="22"/>
          <w:highlight w:val="none"/>
          <w:lang w:eastAsia="zh-CN"/>
        </w:rPr>
        <w:t>磋商文件</w:t>
      </w:r>
      <w:r>
        <w:rPr>
          <w:rFonts w:hint="eastAsia" w:ascii="宋体" w:hAnsi="宋体" w:eastAsia="宋体" w:cs="宋体"/>
          <w:b/>
          <w:bCs/>
          <w:color w:val="auto"/>
          <w:spacing w:val="-6"/>
          <w:sz w:val="22"/>
          <w:highlight w:val="none"/>
        </w:rPr>
        <w:t>中所明确的采购需求外，欢迎其他能满足本项目采购需求且性能相当于或高于所明确采购需求的产品参加投标报价。同时在采购需求偏离表中作出详细对比说明。</w:t>
      </w:r>
    </w:p>
    <w:p w14:paraId="7446F05F">
      <w:pPr>
        <w:snapToGrid w:val="0"/>
        <w:spacing w:line="360" w:lineRule="exact"/>
        <w:ind w:firstLine="418" w:firstLineChars="200"/>
        <w:rPr>
          <w:rFonts w:hint="eastAsia" w:ascii="宋体" w:hAnsi="宋体" w:eastAsia="宋体" w:cs="宋体"/>
          <w:b/>
          <w:bCs/>
          <w:color w:val="auto"/>
          <w:spacing w:val="-6"/>
          <w:sz w:val="22"/>
          <w:highlight w:val="none"/>
        </w:rPr>
      </w:pPr>
      <w:r>
        <w:rPr>
          <w:rFonts w:hint="eastAsia" w:ascii="宋体" w:hAnsi="宋体" w:eastAsia="宋体" w:cs="宋体"/>
          <w:b/>
          <w:bCs/>
          <w:color w:val="auto"/>
          <w:spacing w:val="-6"/>
          <w:sz w:val="22"/>
          <w:highlight w:val="none"/>
        </w:rPr>
        <w:t>2.带“▲且加下划线”的有关条款为实质性条款，供应商必须做出实质性响应，不允许负偏离，出现负偏离的将导致投标无效。打★的条款为重要指标，允许负偏离，但在技术评分时会重点扣分，具体见评审因素。</w:t>
      </w:r>
    </w:p>
    <w:p w14:paraId="599F3BFA">
      <w:pPr>
        <w:snapToGrid w:val="0"/>
        <w:spacing w:line="360" w:lineRule="exact"/>
        <w:ind w:firstLine="418" w:firstLineChars="200"/>
      </w:pPr>
      <w:r>
        <w:rPr>
          <w:rFonts w:hint="eastAsia" w:ascii="宋体" w:hAnsi="宋体" w:eastAsia="宋体" w:cs="宋体"/>
          <w:b/>
          <w:bCs/>
          <w:color w:val="auto"/>
          <w:spacing w:val="-6"/>
          <w:sz w:val="22"/>
          <w:highlight w:val="none"/>
        </w:rPr>
        <w:t>3.如采购需求中未特别注明需执行的国家相关标准、行业标准、地方标准或者其他标准、规范，则统一执行最新标准、规范。</w:t>
      </w:r>
      <w:bookmarkEnd w:id="0"/>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C373">
    <w:pPr>
      <w:pStyle w:val="6"/>
      <w:jc w:val="both"/>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6E99C">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196E99C">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D4735">
    <w:pPr>
      <w:pStyle w:val="7"/>
      <w:pBdr>
        <w:top w:val="none" w:color="auto" w:sz="0" w:space="0"/>
        <w:left w:val="none" w:color="auto" w:sz="0" w:space="0"/>
        <w:bottom w:val="single" w:color="auto" w:sz="4" w:space="1"/>
        <w:right w:val="none" w:color="auto" w:sz="0" w:space="0"/>
      </w:pBdr>
      <w:jc w:val="left"/>
      <w:rPr>
        <w:rFonts w:hint="eastAsia" w:eastAsia="宋体"/>
        <w:lang w:val="en-US" w:eastAsia="zh-CN"/>
      </w:rPr>
    </w:pPr>
    <w:r>
      <w:rPr>
        <w:rFonts w:hint="eastAsia"/>
        <w:szCs w:val="22"/>
      </w:rPr>
      <w:t>浙江乐诚工程咨询有限公司磋商文件</w:t>
    </w:r>
    <w:r>
      <w:rPr>
        <w:rFonts w:hint="eastAsia"/>
        <w:szCs w:val="22"/>
        <w:lang w:val="en-US" w:eastAsia="zh-CN"/>
      </w:rPr>
      <w:t xml:space="preserve">                                                   </w:t>
    </w:r>
    <w:r>
      <w:rPr>
        <w:rFonts w:hint="eastAsia" w:ascii="Arial" w:hAnsi="宋体" w:cs="Arial"/>
        <w:b/>
        <w:szCs w:val="21"/>
        <w:lang w:val="en-US" w:eastAsia="zh-CN"/>
      </w:rPr>
      <w:t xml:space="preserve"> </w:t>
    </w:r>
    <w:r>
      <w:rPr>
        <w:rFonts w:hint="eastAsia" w:ascii="Arial" w:hAnsi="宋体" w:cs="Arial"/>
        <w:b/>
        <w:szCs w:val="21"/>
      </w:rPr>
      <w:drawing>
        <wp:inline distT="0" distB="0" distL="114300" distR="114300">
          <wp:extent cx="381000" cy="3429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3810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DC8BE"/>
    <w:multiLevelType w:val="singleLevel"/>
    <w:tmpl w:val="8C0DC8B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35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uiPriority w:val="0"/>
    <w:pPr>
      <w:adjustRightInd w:val="0"/>
      <w:spacing w:line="360" w:lineRule="auto"/>
      <w:ind w:firstLine="490"/>
      <w:jc w:val="left"/>
    </w:pPr>
    <w:rPr>
      <w:rFonts w:ascii="宋体" w:hAnsi="宋体"/>
      <w:sz w:val="24"/>
    </w:rPr>
  </w:style>
  <w:style w:type="paragraph" w:styleId="4">
    <w:name w:val="Body Text First Indent 2"/>
    <w:basedOn w:val="3"/>
    <w:next w:val="1"/>
    <w:qFormat/>
    <w:uiPriority w:val="99"/>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5">
    <w:name w:val="Block Text"/>
    <w:basedOn w:val="1"/>
    <w:uiPriority w:val="0"/>
    <w:pPr>
      <w:adjustRightInd w:val="0"/>
      <w:spacing w:line="300" w:lineRule="auto"/>
      <w:ind w:left="958" w:rightChars="-120"/>
      <w:jc w:val="left"/>
    </w:pPr>
    <w:rPr>
      <w:rFonts w:ascii="宋体" w:hAnsi="宋体"/>
      <w:sz w:val="28"/>
    </w:rPr>
  </w:style>
  <w:style w:type="paragraph" w:styleId="6">
    <w:name w:val="footer"/>
    <w:basedOn w:val="1"/>
    <w:uiPriority w:val="99"/>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6"/>
    <w:basedOn w:val="1"/>
    <w:next w:val="1"/>
    <w:qFormat/>
    <w:uiPriority w:val="0"/>
    <w:pPr>
      <w:ind w:left="1400"/>
    </w:pPr>
    <w:rPr>
      <w:sz w:val="18"/>
      <w:szCs w:val="18"/>
    </w:rPr>
  </w:style>
  <w:style w:type="paragraph" w:styleId="9">
    <w:name w:val="Body Text First Indent"/>
    <w:basedOn w:val="2"/>
    <w:next w:val="8"/>
    <w:uiPriority w:val="0"/>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2025-11-05T11:20:39Z</dcterms:created>
  <dc:creator>DELL</dc:creator>
  <cp:lastModifiedBy>浙江乐诚</cp:lastModifiedBy>
  <dcterms:modified xsi:type="dcterms:W3CDTF">2025-11-05T11:25:06Z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eyJoZGlkIjoiOGVlZjc4NmM4MzAyYWZmMTcwNTJhMjE0M2FkNWRmNWEiLCJ1c2VySWQiOiIxOTk1MTEzOTEifQ==</vt:lpwstr>
  </property>
  <property fmtid="{D5CDD505-2E9C-101B-9397-08002B2CF9AE}" pid="4" name="ICV">
    <vt:lpwstr>F6A6ADDD478F4774A09CEB7CDDD96698_12</vt:lpwstr>
  </property>
</Properties>
</file>