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采购需求</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sz w:val="22"/>
          <w:szCs w:val="22"/>
        </w:rPr>
      </w:pPr>
      <w:bookmarkStart w:id="0" w:name="_Toc479839540"/>
      <w:r>
        <w:rPr>
          <w:rFonts w:hint="eastAsia" w:ascii="宋体" w:hAnsi="宋体" w:eastAsia="宋体" w:cs="宋体"/>
          <w:b/>
          <w:bCs/>
          <w:sz w:val="22"/>
          <w:szCs w:val="22"/>
        </w:rPr>
        <w:t>一、项目名称：</w:t>
      </w:r>
      <w:r>
        <w:rPr>
          <w:rFonts w:hint="eastAsia" w:ascii="宋体" w:hAnsi="宋体" w:eastAsia="宋体" w:cs="宋体"/>
          <w:sz w:val="22"/>
          <w:szCs w:val="22"/>
          <w:lang w:bidi="ar"/>
        </w:rPr>
        <w:t>2026年1月-3月温州理工学院通勤车租赁服务</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sz w:val="22"/>
          <w:szCs w:val="22"/>
        </w:rPr>
      </w:pPr>
      <w:r>
        <w:rPr>
          <w:rFonts w:hint="eastAsia" w:ascii="宋体" w:hAnsi="宋体" w:eastAsia="宋体" w:cs="宋体"/>
          <w:b/>
          <w:bCs/>
          <w:sz w:val="22"/>
          <w:szCs w:val="22"/>
        </w:rPr>
        <w:t>二、服务内容：本项目服务内容为温州理工学院提供</w:t>
      </w:r>
      <w:r>
        <w:rPr>
          <w:rFonts w:hint="eastAsia" w:ascii="宋体" w:hAnsi="宋体" w:eastAsia="宋体" w:cs="宋体"/>
          <w:sz w:val="22"/>
          <w:szCs w:val="22"/>
          <w:lang w:bidi="ar"/>
        </w:rPr>
        <w:t>2026年1月-3月温州理工学院通勤车租赁服务</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sz w:val="22"/>
          <w:szCs w:val="22"/>
        </w:rPr>
      </w:pPr>
      <w:r>
        <w:rPr>
          <w:rFonts w:hint="eastAsia" w:ascii="宋体" w:hAnsi="宋体" w:eastAsia="宋体" w:cs="宋体"/>
          <w:b/>
          <w:bCs/>
          <w:sz w:val="22"/>
          <w:szCs w:val="22"/>
        </w:rPr>
        <w:t>三、服务要求（包括驾驶员和车辆）</w:t>
      </w:r>
    </w:p>
    <w:p>
      <w:pPr>
        <w:keepNext w:val="0"/>
        <w:keepLines w:val="0"/>
        <w:pageBreakBefore w:val="0"/>
        <w:widowControl w:val="0"/>
        <w:kinsoku/>
        <w:wordWrap/>
        <w:overflowPunct/>
        <w:topLinePunct w:val="0"/>
        <w:bidi w:val="0"/>
        <w:spacing w:line="360" w:lineRule="exact"/>
        <w:ind w:firstLine="435" w:firstLineChars="198"/>
        <w:textAlignment w:val="auto"/>
        <w:rPr>
          <w:rFonts w:hint="eastAsia" w:ascii="宋体" w:hAnsi="宋体" w:eastAsia="宋体" w:cs="宋体"/>
          <w:b/>
          <w:bCs/>
          <w:sz w:val="22"/>
          <w:szCs w:val="22"/>
        </w:rPr>
      </w:pPr>
      <w:r>
        <w:rPr>
          <w:rFonts w:hint="eastAsia" w:ascii="宋体" w:hAnsi="宋体" w:eastAsia="宋体" w:cs="宋体"/>
          <w:sz w:val="22"/>
          <w:szCs w:val="22"/>
        </w:rPr>
        <w:t>★</w:t>
      </w:r>
      <w:r>
        <w:rPr>
          <w:rFonts w:hint="eastAsia" w:ascii="宋体" w:hAnsi="宋体" w:eastAsia="宋体" w:cs="宋体"/>
          <w:b/>
          <w:bCs/>
          <w:sz w:val="22"/>
          <w:szCs w:val="22"/>
        </w:rPr>
        <w:t>（一）驾驶员要求</w:t>
      </w:r>
    </w:p>
    <w:p>
      <w:pPr>
        <w:keepNext w:val="0"/>
        <w:keepLines w:val="0"/>
        <w:pageBreakBefore w:val="0"/>
        <w:widowControl w:val="0"/>
        <w:numPr>
          <w:ilvl w:val="0"/>
          <w:numId w:val="1"/>
        </w:numPr>
        <w:kinsoku/>
        <w:wordWrap/>
        <w:overflowPunct/>
        <w:topLinePunct w:val="0"/>
        <w:bidi w:val="0"/>
        <w:spacing w:line="360" w:lineRule="exact"/>
        <w:textAlignment w:val="auto"/>
        <w:rPr>
          <w:rFonts w:hint="eastAsia" w:ascii="宋体" w:hAnsi="宋体" w:eastAsia="宋体" w:cs="宋体"/>
          <w:color w:val="auto"/>
          <w:sz w:val="22"/>
          <w:szCs w:val="22"/>
        </w:rPr>
      </w:pPr>
      <w:r>
        <w:rPr>
          <w:rFonts w:hint="eastAsia" w:ascii="宋体" w:hAnsi="宋体" w:eastAsia="宋体" w:cs="宋体"/>
          <w:sz w:val="22"/>
          <w:szCs w:val="22"/>
        </w:rPr>
        <w:t>驾驶员需具</w:t>
      </w:r>
      <w:r>
        <w:rPr>
          <w:rFonts w:hint="eastAsia" w:ascii="宋体" w:hAnsi="宋体" w:eastAsia="宋体" w:cs="宋体"/>
          <w:color w:val="auto"/>
          <w:sz w:val="22"/>
          <w:szCs w:val="22"/>
        </w:rPr>
        <w:t>备10年及以上大型客车驾龄；</w:t>
      </w:r>
    </w:p>
    <w:p>
      <w:pPr>
        <w:keepNext w:val="0"/>
        <w:keepLines w:val="0"/>
        <w:pageBreakBefore w:val="0"/>
        <w:widowControl w:val="0"/>
        <w:numPr>
          <w:ilvl w:val="0"/>
          <w:numId w:val="1"/>
        </w:numPr>
        <w:kinsoku/>
        <w:wordWrap/>
        <w:overflowPunct/>
        <w:topLinePunct w:val="0"/>
        <w:bidi w:val="0"/>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持有相应准驾证件和客运资质；</w:t>
      </w:r>
    </w:p>
    <w:p>
      <w:pPr>
        <w:keepNext w:val="0"/>
        <w:keepLines w:val="0"/>
        <w:pageBreakBefore w:val="0"/>
        <w:widowControl w:val="0"/>
        <w:numPr>
          <w:ilvl w:val="0"/>
          <w:numId w:val="1"/>
        </w:numPr>
        <w:kinsoku/>
        <w:wordWrap/>
        <w:overflowPunct/>
        <w:topLinePunct w:val="0"/>
        <w:bidi w:val="0"/>
        <w:spacing w:line="3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未发生过酒驾、毒驾等事件；</w:t>
      </w:r>
    </w:p>
    <w:p>
      <w:pPr>
        <w:keepNext w:val="0"/>
        <w:keepLines w:val="0"/>
        <w:pageBreakBefore w:val="0"/>
        <w:widowControl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color w:val="auto"/>
          <w:sz w:val="22"/>
          <w:szCs w:val="22"/>
        </w:rPr>
        <w:t>驾驶员年龄至本项目投标截止时间止需在30</w:t>
      </w:r>
      <w:r>
        <w:rPr>
          <w:rFonts w:hint="eastAsia" w:ascii="宋体" w:hAnsi="宋体" w:eastAsia="宋体" w:cs="宋体"/>
          <w:sz w:val="22"/>
          <w:szCs w:val="22"/>
        </w:rPr>
        <w:t>周岁至60周岁之间，身体健康，举止文明；</w:t>
      </w:r>
    </w:p>
    <w:p>
      <w:pPr>
        <w:keepNext w:val="0"/>
        <w:keepLines w:val="0"/>
        <w:pageBreakBefore w:val="0"/>
        <w:widowControl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未发生过任何行政或刑事拘留及以上案件；</w:t>
      </w:r>
    </w:p>
    <w:p>
      <w:pPr>
        <w:keepNext w:val="0"/>
        <w:keepLines w:val="0"/>
        <w:pageBreakBefore w:val="0"/>
        <w:widowControl w:val="0"/>
        <w:numPr>
          <w:ilvl w:val="0"/>
          <w:numId w:val="1"/>
        </w:numPr>
        <w:kinsoku/>
        <w:wordWrap/>
        <w:overflowPunct/>
        <w:topLinePunct w:val="0"/>
        <w:bidi w:val="0"/>
        <w:spacing w:line="360" w:lineRule="exact"/>
        <w:textAlignment w:val="auto"/>
        <w:rPr>
          <w:rFonts w:hint="eastAsia" w:ascii="宋体" w:hAnsi="宋体" w:eastAsia="宋体" w:cs="宋体"/>
          <w:sz w:val="22"/>
          <w:szCs w:val="22"/>
        </w:rPr>
      </w:pPr>
      <w:r>
        <w:rPr>
          <w:rFonts w:hint="eastAsia" w:ascii="宋体" w:hAnsi="宋体" w:eastAsia="宋体" w:cs="宋体"/>
          <w:sz w:val="22"/>
          <w:szCs w:val="22"/>
        </w:rPr>
        <w:t>供应商必须明确提供给采购人驾驶员信息，原则上不得更换（因身体健康、工作态度原因，达不到采购人要求的，经采购人提议，应在短时间内更换），如特殊情况更换需经学校后勤同意并备案，否则不予支付合同款。首次派驻人员试用期1个月。</w:t>
      </w:r>
    </w:p>
    <w:p>
      <w:pPr>
        <w:keepNext w:val="0"/>
        <w:keepLines w:val="0"/>
        <w:pageBreakBefore w:val="0"/>
        <w:widowControl w:val="0"/>
        <w:kinsoku/>
        <w:wordWrap/>
        <w:overflowPunct/>
        <w:topLinePunct w:val="0"/>
        <w:bidi w:val="0"/>
        <w:spacing w:line="360" w:lineRule="exact"/>
        <w:ind w:firstLine="437" w:firstLineChars="198"/>
        <w:textAlignment w:val="auto"/>
        <w:rPr>
          <w:rFonts w:hint="eastAsia" w:ascii="宋体" w:hAnsi="宋体" w:eastAsia="宋体" w:cs="宋体"/>
          <w:b/>
          <w:bCs/>
          <w:sz w:val="22"/>
          <w:szCs w:val="22"/>
        </w:rPr>
      </w:pPr>
      <w:r>
        <w:rPr>
          <w:rFonts w:hint="eastAsia" w:ascii="宋体" w:hAnsi="宋体" w:eastAsia="宋体" w:cs="宋体"/>
          <w:b/>
          <w:bCs/>
          <w:sz w:val="22"/>
          <w:szCs w:val="22"/>
        </w:rPr>
        <w:t>（三）车辆要求</w:t>
      </w:r>
      <w:bookmarkStart w:id="8" w:name="_GoBack"/>
      <w:bookmarkEnd w:id="8"/>
    </w:p>
    <w:p>
      <w:pPr>
        <w:keepNext w:val="0"/>
        <w:keepLines w:val="0"/>
        <w:pageBreakBefore w:val="0"/>
        <w:widowControl w:val="0"/>
        <w:kinsoku/>
        <w:wordWrap/>
        <w:overflowPunct/>
        <w:topLinePunct w:val="0"/>
        <w:bidi w:val="0"/>
        <w:spacing w:line="360" w:lineRule="exact"/>
        <w:ind w:left="420" w:leftChars="200"/>
        <w:textAlignment w:val="auto"/>
        <w:rPr>
          <w:rFonts w:hint="eastAsia" w:ascii="宋体" w:hAnsi="宋体" w:eastAsia="宋体" w:cs="宋体"/>
          <w:sz w:val="22"/>
          <w:szCs w:val="22"/>
        </w:rPr>
      </w:pPr>
      <w:r>
        <w:rPr>
          <w:rFonts w:hint="eastAsia" w:ascii="宋体" w:hAnsi="宋体" w:eastAsia="宋体" w:cs="宋体"/>
          <w:bCs/>
          <w:sz w:val="22"/>
          <w:szCs w:val="22"/>
        </w:rPr>
        <w:t>（1）</w:t>
      </w:r>
      <w:r>
        <w:rPr>
          <w:rFonts w:hint="eastAsia" w:ascii="宋体" w:hAnsi="宋体" w:eastAsia="宋体" w:cs="宋体"/>
          <w:bCs/>
          <w:sz w:val="22"/>
          <w:szCs w:val="22"/>
          <w:u w:val="single"/>
        </w:rPr>
        <w:t>▲</w:t>
      </w:r>
      <w:r>
        <w:rPr>
          <w:rFonts w:hint="eastAsia" w:ascii="宋体" w:hAnsi="宋体" w:eastAsia="宋体" w:cs="宋体"/>
          <w:b/>
          <w:bCs/>
          <w:sz w:val="22"/>
          <w:szCs w:val="22"/>
          <w:u w:val="single"/>
        </w:rPr>
        <w:t>供应商所提供的车辆均为车龄</w:t>
      </w:r>
      <w:r>
        <w:rPr>
          <w:rFonts w:hint="eastAsia" w:ascii="宋体" w:hAnsi="宋体" w:eastAsia="宋体" w:cs="宋体"/>
          <w:b/>
          <w:bCs/>
          <w:sz w:val="22"/>
          <w:szCs w:val="22"/>
          <w:u w:val="single"/>
          <w:lang w:val="en-US" w:eastAsia="zh-CN"/>
        </w:rPr>
        <w:t>5</w:t>
      </w:r>
      <w:r>
        <w:rPr>
          <w:rFonts w:hint="eastAsia" w:ascii="宋体" w:hAnsi="宋体" w:eastAsia="宋体" w:cs="宋体"/>
          <w:b/>
          <w:bCs/>
          <w:sz w:val="22"/>
          <w:szCs w:val="22"/>
          <w:u w:val="single"/>
        </w:rPr>
        <w:t>年内的50座及以上大型客车</w:t>
      </w:r>
      <w:r>
        <w:rPr>
          <w:rFonts w:hint="eastAsia" w:ascii="宋体" w:hAnsi="宋体" w:eastAsia="宋体" w:cs="宋体"/>
          <w:sz w:val="22"/>
          <w:szCs w:val="22"/>
        </w:rPr>
        <w:t>。</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★（2）车况良好，内饰干净整洁，车辆交强险、商业险、车上人员险等险种齐全；车辆定期检验合格，灭火器、警示牌、备胎、监控、</w:t>
      </w:r>
      <w:r>
        <w:rPr>
          <w:rFonts w:hint="eastAsia" w:ascii="宋体" w:hAnsi="宋体" w:eastAsia="宋体" w:cs="宋体"/>
          <w:spacing w:val="-6"/>
          <w:sz w:val="22"/>
          <w:szCs w:val="22"/>
        </w:rPr>
        <w:t>GPS定位</w:t>
      </w:r>
      <w:r>
        <w:rPr>
          <w:rFonts w:hint="eastAsia" w:ascii="宋体" w:hAnsi="宋体" w:eastAsia="宋体" w:cs="宋体"/>
          <w:sz w:val="22"/>
          <w:szCs w:val="22"/>
        </w:rPr>
        <w:t>等完备，具备上路资格。</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（3）供应商车辆必须保持车厢内外整洁卫生、车窗明亮，且应做到每日清洁；每个座椅保持洁净；不得在车厢内吸烟。</w:t>
      </w:r>
    </w:p>
    <w:p>
      <w:pPr>
        <w:keepNext w:val="0"/>
        <w:keepLines w:val="0"/>
        <w:pageBreakBefore w:val="0"/>
        <w:widowControl w:val="0"/>
        <w:kinsoku/>
        <w:wordWrap/>
        <w:overflowPunct/>
        <w:topLinePunct w:val="0"/>
        <w:bidi w:val="0"/>
        <w:spacing w:line="360" w:lineRule="exact"/>
        <w:ind w:left="420" w:leftChars="200"/>
        <w:textAlignment w:val="auto"/>
        <w:rPr>
          <w:rFonts w:hint="eastAsia" w:ascii="宋体" w:hAnsi="宋体" w:eastAsia="宋体" w:cs="宋体"/>
          <w:sz w:val="22"/>
          <w:szCs w:val="22"/>
        </w:rPr>
      </w:pPr>
      <w:r>
        <w:rPr>
          <w:rFonts w:hint="eastAsia" w:ascii="宋体" w:hAnsi="宋体" w:eastAsia="宋体" w:cs="宋体"/>
          <w:sz w:val="22"/>
          <w:szCs w:val="22"/>
        </w:rPr>
        <w:t>（4）供应商按乘客的需求开启车内空调，车厢内必须保证适当通风。</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供应商所提供的车辆需符合国家交通管理规定及安全环保等要求，供应商参加投标时必须针对线路进行定车定人，响应文件里应包含定车定人线路安排表，日后班车运行中驾驶员、车辆不得调换。签订合同之前，供应商需明确符合采购需求的车作为备用车辆（需采购人认可），并需提供车辆信息及随车配备驾驶员信息。如果班车遇年检等特殊情况需调换车辆的，调换前需征得学校班车使用管理部门的同意，然后从备用车辆中选择替补上，待事情解决后马上换回中标车辆。</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★（6）对方提供车辆需按校方要求贴上指定的学校LOGO。</w:t>
      </w:r>
    </w:p>
    <w:p>
      <w:pPr>
        <w:pStyle w:val="9"/>
        <w:keepNext w:val="0"/>
        <w:keepLines w:val="0"/>
        <w:pageBreakBefore w:val="0"/>
        <w:widowControl w:val="0"/>
        <w:kinsoku/>
        <w:wordWrap/>
        <w:overflowPunct/>
        <w:topLinePunct w:val="0"/>
        <w:bidi w:val="0"/>
        <w:spacing w:after="0"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bCs/>
          <w:sz w:val="22"/>
          <w:szCs w:val="22"/>
        </w:rPr>
        <w:t>（四）</w:t>
      </w:r>
      <w:r>
        <w:rPr>
          <w:rFonts w:hint="eastAsia" w:ascii="宋体" w:hAnsi="宋体" w:eastAsia="宋体" w:cs="宋体"/>
          <w:sz w:val="22"/>
          <w:szCs w:val="22"/>
        </w:rPr>
        <w:t>★</w:t>
      </w:r>
      <w:r>
        <w:rPr>
          <w:rFonts w:hint="eastAsia" w:ascii="宋体" w:hAnsi="宋体" w:eastAsia="宋体" w:cs="宋体"/>
          <w:bCs/>
          <w:sz w:val="22"/>
          <w:szCs w:val="22"/>
        </w:rPr>
        <w:t>车辆基本消杀要求</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车辆由乙方执行“一趟一清扫、一周一消毒、通风不间断、消杀无死角”制度，车辆到达终点站及时进行通风，车辆配备自动检测体温计，供应商每日定量配备口罩50个、免洗洗手液一瓶等防疫物资（当日用完即补）。</w:t>
      </w:r>
    </w:p>
    <w:p>
      <w:pPr>
        <w:keepNext w:val="0"/>
        <w:keepLines w:val="0"/>
        <w:pageBreakBefore w:val="0"/>
        <w:widowControl w:val="0"/>
        <w:kinsoku/>
        <w:wordWrap/>
        <w:overflowPunct/>
        <w:topLinePunct w:val="0"/>
        <w:bidi w:val="0"/>
        <w:spacing w:line="360" w:lineRule="exact"/>
        <w:ind w:firstLine="437" w:firstLineChars="198"/>
        <w:textAlignment w:val="auto"/>
        <w:rPr>
          <w:rFonts w:hint="eastAsia" w:ascii="宋体" w:hAnsi="宋体" w:eastAsia="宋体" w:cs="宋体"/>
          <w:b/>
          <w:bCs/>
          <w:sz w:val="22"/>
          <w:szCs w:val="22"/>
        </w:rPr>
      </w:pPr>
      <w:r>
        <w:rPr>
          <w:rFonts w:hint="eastAsia" w:ascii="宋体" w:hAnsi="宋体" w:eastAsia="宋体" w:cs="宋体"/>
          <w:b/>
          <w:bCs/>
          <w:sz w:val="22"/>
          <w:szCs w:val="22"/>
        </w:rPr>
        <w:t>（五）其他要求</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bCs/>
          <w:sz w:val="22"/>
          <w:szCs w:val="22"/>
        </w:rPr>
        <w:t>（1）</w:t>
      </w:r>
      <w:r>
        <w:rPr>
          <w:rFonts w:hint="eastAsia" w:ascii="宋体" w:hAnsi="宋体" w:eastAsia="宋体" w:cs="宋体"/>
          <w:sz w:val="22"/>
          <w:szCs w:val="22"/>
        </w:rPr>
        <w:t>服务期间，供应商行车载客必须遵守道路交通规则。如违反交通规则，所有相关罚款由成交供应商负责；如造成交通事故或乘客伤亡，采购人有权向成交供应商索赔，由成交供应商承担所有责任及赔偿相应的费用（保险赔付不足部分由成交供应商承担）；如对甲方、乙方外的第三者造成损害，也应由乙方承担所有责任。</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★（2）供应商车辆必须在规定时间准时到达起点站，如车辆途中故障排除需超过20分钟，或因跳站漏站的应马上采用其它交通工具送采购人客人到达目的地，所发生的车费由供应商负责。</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bCs/>
          <w:sz w:val="22"/>
          <w:szCs w:val="22"/>
        </w:rPr>
        <w:t>应急预案：班</w:t>
      </w:r>
      <w:r>
        <w:rPr>
          <w:rFonts w:hint="eastAsia" w:ascii="宋体" w:hAnsi="宋体" w:eastAsia="宋体" w:cs="宋体"/>
          <w:sz w:val="22"/>
          <w:szCs w:val="22"/>
        </w:rPr>
        <w:t>线运营过程中</w:t>
      </w:r>
      <w:r>
        <w:rPr>
          <w:rFonts w:hint="eastAsia" w:ascii="宋体" w:hAnsi="宋体" w:eastAsia="宋体" w:cs="宋体"/>
          <w:color w:val="auto"/>
          <w:sz w:val="22"/>
          <w:szCs w:val="22"/>
        </w:rPr>
        <w:t>车辆发</w:t>
      </w:r>
      <w:r>
        <w:rPr>
          <w:rFonts w:hint="eastAsia" w:eastAsia="宋体" w:cs="宋体"/>
          <w:color w:val="auto"/>
          <w:sz w:val="22"/>
          <w:szCs w:val="22"/>
          <w:lang w:val="en-US" w:eastAsia="zh-CN"/>
        </w:rPr>
        <w:t>生</w:t>
      </w:r>
      <w:r>
        <w:rPr>
          <w:rFonts w:hint="eastAsia" w:ascii="宋体" w:hAnsi="宋体" w:eastAsia="宋体" w:cs="宋体"/>
          <w:color w:val="auto"/>
          <w:sz w:val="22"/>
          <w:szCs w:val="22"/>
        </w:rPr>
        <w:t>故</w:t>
      </w:r>
      <w:r>
        <w:rPr>
          <w:rFonts w:hint="eastAsia" w:ascii="宋体" w:hAnsi="宋体" w:eastAsia="宋体" w:cs="宋体"/>
          <w:sz w:val="22"/>
          <w:szCs w:val="22"/>
        </w:rPr>
        <w:t>障或道路交通事故，供应商需立即调用备用车辆保障班线运行，由于车辆及驾驶员问题造成的教职工用车费用或教学事故均由供应商负责。</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（4）服务期间对师生提出的诉求及时响应，如无法解决的上报采购人。</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（5）出车当天，仅为提供甲方服务，不得因其他因素出车。</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（6）需按学校规定定点停放车辆，不得私自乱停。</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★（7）需准点准时经过各</w:t>
      </w:r>
      <w:r>
        <w:rPr>
          <w:rFonts w:hint="eastAsia" w:ascii="宋体" w:hAnsi="宋体" w:eastAsia="宋体" w:cs="宋体"/>
          <w:sz w:val="22"/>
          <w:szCs w:val="22"/>
          <w:highlight w:val="none"/>
        </w:rPr>
        <w:t>站点。有接送师生的情况下需走高速，高速费用</w:t>
      </w:r>
      <w:r>
        <w:rPr>
          <w:rFonts w:hint="eastAsia" w:eastAsia="宋体" w:cs="宋体"/>
          <w:sz w:val="22"/>
          <w:szCs w:val="22"/>
          <w:highlight w:val="none"/>
          <w:lang w:val="en-US" w:eastAsia="zh-CN"/>
        </w:rPr>
        <w:t>由</w:t>
      </w:r>
      <w:r>
        <w:rPr>
          <w:rFonts w:hint="eastAsia" w:ascii="宋体" w:hAnsi="宋体" w:eastAsia="宋体" w:cs="宋体"/>
          <w:sz w:val="22"/>
          <w:szCs w:val="22"/>
          <w:highlight w:val="none"/>
        </w:rPr>
        <w:t>乙方出，不能自行调整线路。</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（8）茶山-滨海的班车非运营时间要求停放在茶山规定位置。</w:t>
      </w:r>
    </w:p>
    <w:p>
      <w:pPr>
        <w:pStyle w:val="5"/>
        <w:keepNext w:val="0"/>
        <w:keepLines w:val="0"/>
        <w:pageBreakBefore w:val="0"/>
        <w:widowControl w:val="0"/>
        <w:kinsoku/>
        <w:wordWrap/>
        <w:overflowPunct/>
        <w:topLinePunct w:val="0"/>
        <w:bidi w:val="0"/>
        <w:spacing w:after="0" w:line="360" w:lineRule="exact"/>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eastAsia="宋体" w:cs="宋体"/>
          <w:sz w:val="22"/>
          <w:szCs w:val="22"/>
          <w:lang w:val="en-US" w:eastAsia="zh-CN"/>
        </w:rPr>
        <w:t>9</w:t>
      </w:r>
      <w:r>
        <w:rPr>
          <w:rFonts w:hint="eastAsia" w:ascii="宋体" w:hAnsi="宋体" w:eastAsia="宋体" w:cs="宋体"/>
          <w:sz w:val="22"/>
          <w:szCs w:val="22"/>
        </w:rPr>
        <w:t>）接送车必须在前挡风玻璃明显位置放置“接送专用车”标志牌。</w:t>
      </w:r>
      <w:r>
        <w:rPr>
          <w:rFonts w:hint="eastAsia" w:ascii="宋体" w:hAnsi="宋体" w:eastAsia="宋体" w:cs="宋体"/>
          <w:b/>
          <w:bCs/>
          <w:sz w:val="22"/>
          <w:szCs w:val="22"/>
        </w:rPr>
        <w:t>接送车车身必须使用甲方标志的醒目车贴（要美观），且不得出现其他公司名称之类的标识，服务期内不得挪做它用。</w:t>
      </w:r>
    </w:p>
    <w:p>
      <w:pPr>
        <w:pStyle w:val="5"/>
        <w:keepNext w:val="0"/>
        <w:keepLines w:val="0"/>
        <w:pageBreakBefore w:val="0"/>
        <w:widowControl w:val="0"/>
        <w:kinsoku/>
        <w:wordWrap/>
        <w:overflowPunct/>
        <w:topLinePunct w:val="0"/>
        <w:bidi w:val="0"/>
        <w:spacing w:after="0" w:line="360" w:lineRule="exact"/>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（1</w:t>
      </w:r>
      <w:r>
        <w:rPr>
          <w:rFonts w:hint="eastAsia" w:eastAsia="宋体" w:cs="宋体"/>
          <w:b/>
          <w:sz w:val="22"/>
          <w:szCs w:val="22"/>
          <w:lang w:val="en-US" w:eastAsia="zh-CN"/>
        </w:rPr>
        <w:t>0</w:t>
      </w:r>
      <w:r>
        <w:rPr>
          <w:rFonts w:hint="eastAsia" w:ascii="宋体" w:hAnsi="宋体" w:eastAsia="宋体" w:cs="宋体"/>
          <w:b/>
          <w:sz w:val="22"/>
          <w:szCs w:val="22"/>
        </w:rPr>
        <w:t>）采购人有权在合理范围（单条线路调整范围为±10km）内根据实际情况，调整路线及时间，且合同金额不变，请供应商在投标响应时充分考虑调整带来的风险。</w:t>
      </w:r>
    </w:p>
    <w:p>
      <w:pPr>
        <w:pStyle w:val="5"/>
        <w:keepNext w:val="0"/>
        <w:keepLines w:val="0"/>
        <w:pageBreakBefore w:val="0"/>
        <w:widowControl w:val="0"/>
        <w:kinsoku/>
        <w:wordWrap/>
        <w:overflowPunct/>
        <w:topLinePunct w:val="0"/>
        <w:bidi w:val="0"/>
        <w:spacing w:after="0" w:line="360" w:lineRule="exact"/>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★（1</w:t>
      </w:r>
      <w:r>
        <w:rPr>
          <w:rFonts w:hint="eastAsia" w:eastAsia="宋体" w:cs="宋体"/>
          <w:b/>
          <w:sz w:val="22"/>
          <w:szCs w:val="22"/>
          <w:lang w:val="en-US" w:eastAsia="zh-CN"/>
        </w:rPr>
        <w:t>1</w:t>
      </w:r>
      <w:r>
        <w:rPr>
          <w:rFonts w:hint="eastAsia" w:ascii="宋体" w:hAnsi="宋体" w:eastAsia="宋体" w:cs="宋体"/>
          <w:b/>
          <w:sz w:val="22"/>
          <w:szCs w:val="22"/>
        </w:rPr>
        <w:t>）专用校车必须按规定缴纳车辆交强险、商业险（承运人险每座保额不低于50万</w:t>
      </w:r>
      <w:r>
        <w:rPr>
          <w:rFonts w:hint="eastAsia" w:eastAsia="宋体" w:cs="宋体"/>
          <w:b/>
          <w:sz w:val="22"/>
          <w:szCs w:val="22"/>
          <w:lang w:val="en-US" w:eastAsia="zh-CN"/>
        </w:rPr>
        <w:t>元</w:t>
      </w:r>
      <w:r>
        <w:rPr>
          <w:rFonts w:hint="eastAsia" w:ascii="宋体" w:hAnsi="宋体" w:eastAsia="宋体" w:cs="宋体"/>
          <w:b/>
          <w:sz w:val="22"/>
          <w:szCs w:val="22"/>
        </w:rPr>
        <w:t>）、第三者责任险保额不少于100万元；保险的费用由投标人承担。</w:t>
      </w:r>
    </w:p>
    <w:p>
      <w:pPr>
        <w:pStyle w:val="5"/>
        <w:keepNext w:val="0"/>
        <w:keepLines w:val="0"/>
        <w:pageBreakBefore w:val="0"/>
        <w:widowControl w:val="0"/>
        <w:kinsoku/>
        <w:wordWrap/>
        <w:overflowPunct/>
        <w:topLinePunct w:val="0"/>
        <w:bidi w:val="0"/>
        <w:spacing w:after="0" w:line="360" w:lineRule="exact"/>
        <w:ind w:left="0" w:leftChars="0" w:right="0" w:rightChars="0" w:firstLine="442" w:firstLineChars="200"/>
        <w:textAlignment w:val="auto"/>
        <w:rPr>
          <w:rFonts w:hint="eastAsia" w:ascii="宋体" w:hAnsi="宋体" w:eastAsia="宋体" w:cs="宋体"/>
          <w:b/>
          <w:color w:val="auto"/>
          <w:sz w:val="22"/>
          <w:szCs w:val="22"/>
          <w:highlight w:val="none"/>
          <w:u w:val="single"/>
        </w:rPr>
      </w:pPr>
      <w:r>
        <w:rPr>
          <w:rFonts w:hint="eastAsia" w:ascii="宋体" w:hAnsi="宋体" w:eastAsia="宋体" w:cs="宋体"/>
          <w:b/>
          <w:sz w:val="22"/>
          <w:szCs w:val="22"/>
        </w:rPr>
        <w:t>（1</w:t>
      </w:r>
      <w:r>
        <w:rPr>
          <w:rFonts w:hint="eastAsia" w:eastAsia="宋体" w:cs="宋体"/>
          <w:b/>
          <w:sz w:val="22"/>
          <w:szCs w:val="22"/>
          <w:lang w:val="en-US" w:eastAsia="zh-CN"/>
        </w:rPr>
        <w:t>2</w:t>
      </w:r>
      <w:r>
        <w:rPr>
          <w:rFonts w:hint="eastAsia" w:ascii="宋体" w:hAnsi="宋体" w:eastAsia="宋体" w:cs="宋体"/>
          <w:b/>
          <w:sz w:val="22"/>
          <w:szCs w:val="22"/>
        </w:rPr>
        <w:t>）</w:t>
      </w:r>
      <w:r>
        <w:rPr>
          <w:rFonts w:hint="eastAsia" w:ascii="宋体" w:hAnsi="宋体" w:eastAsia="宋体" w:cs="宋体"/>
          <w:b/>
          <w:color w:val="auto"/>
          <w:sz w:val="22"/>
          <w:szCs w:val="22"/>
          <w:highlight w:val="none"/>
        </w:rPr>
        <w:t>学校内大型活动出行用车，结算根据实际次数，按中标单价来计算*次数。</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四、项目基本概况介绍</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（1）最高限价</w:t>
      </w:r>
    </w:p>
    <w:tbl>
      <w:tblPr>
        <w:tblStyle w:val="10"/>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9"/>
        <w:gridCol w:w="2574"/>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9"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2574"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班次</w:t>
            </w:r>
          </w:p>
        </w:tc>
        <w:tc>
          <w:tcPr>
            <w:tcW w:w="3319"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往返1趟最高限价（元）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59"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温州市区/茶山-滨海校区</w:t>
            </w:r>
          </w:p>
        </w:tc>
        <w:tc>
          <w:tcPr>
            <w:tcW w:w="2574"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往返1趟</w:t>
            </w:r>
          </w:p>
        </w:tc>
        <w:tc>
          <w:tcPr>
            <w:tcW w:w="3319"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9"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温州市区/茶山—滨海校区</w:t>
            </w:r>
          </w:p>
        </w:tc>
        <w:tc>
          <w:tcPr>
            <w:tcW w:w="2574"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每增加往返1趟</w:t>
            </w:r>
          </w:p>
        </w:tc>
        <w:tc>
          <w:tcPr>
            <w:tcW w:w="3319" w:type="dxa"/>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500</w:t>
            </w:r>
          </w:p>
        </w:tc>
      </w:tr>
    </w:tbl>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▲预算金额：预算为人民币肆拾陆万元整，供应商</w:t>
      </w:r>
      <w:r>
        <w:rPr>
          <w:rFonts w:hint="eastAsia" w:ascii="宋体" w:hAnsi="宋体" w:eastAsia="宋体" w:cs="宋体"/>
          <w:color w:val="auto"/>
          <w:sz w:val="22"/>
          <w:szCs w:val="22"/>
          <w:highlight w:val="none"/>
          <w:u w:val="single"/>
          <w:lang w:val="en-US" w:eastAsia="zh-CN"/>
        </w:rPr>
        <w:t>各阶段</w:t>
      </w:r>
      <w:r>
        <w:rPr>
          <w:rFonts w:hint="eastAsia" w:ascii="宋体" w:hAnsi="宋体" w:eastAsia="宋体" w:cs="宋体"/>
          <w:color w:val="auto"/>
          <w:sz w:val="22"/>
          <w:szCs w:val="22"/>
          <w:highlight w:val="none"/>
          <w:u w:val="single"/>
        </w:rPr>
        <w:t>投标报价超过最高限价的按投标无效处理。</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（2）路线</w:t>
      </w:r>
    </w:p>
    <w:p>
      <w:pPr>
        <w:keepNext w:val="0"/>
        <w:keepLines w:val="0"/>
        <w:pageBreakBefore w:val="0"/>
        <w:widowControl w:val="0"/>
        <w:kinsoku/>
        <w:wordWrap/>
        <w:overflowPunct/>
        <w:topLinePunct w:val="0"/>
        <w:bidi w:val="0"/>
        <w:spacing w:line="36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highlight w:val="none"/>
        </w:rPr>
        <w:t>、</w:t>
      </w:r>
      <w:r>
        <w:rPr>
          <w:rFonts w:hint="eastAsia" w:ascii="宋体" w:hAnsi="宋体" w:eastAsia="宋体" w:cs="宋体"/>
          <w:color w:val="auto"/>
          <w:sz w:val="22"/>
          <w:szCs w:val="22"/>
          <w:highlight w:val="none"/>
        </w:rPr>
        <w:t>温州市区-滨海校区之间往返</w:t>
      </w:r>
    </w:p>
    <w:tbl>
      <w:tblPr>
        <w:tblStyle w:val="11"/>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729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班线</w:t>
            </w:r>
          </w:p>
        </w:tc>
        <w:tc>
          <w:tcPr>
            <w:tcW w:w="7291"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路线</w:t>
            </w:r>
          </w:p>
        </w:tc>
        <w:tc>
          <w:tcPr>
            <w:tcW w:w="730"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将军大酒店—滨海校区</w:t>
            </w:r>
          </w:p>
        </w:tc>
        <w:tc>
          <w:tcPr>
            <w:tcW w:w="7291" w:type="dxa"/>
            <w:noWrap w:val="0"/>
            <w:vAlign w:val="top"/>
          </w:tcPr>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将军大酒店(公交站)→银都花苑(公交站)→华夏银行下吕浦(公交站)→温迪路(公交站)→南浦小学南校区(公交站)→月落垟(公交站)→南瓯景园(公交站)→南湖路瓯越大道(公交站)→荷塘月色(公交站)→滨海校区</w:t>
            </w:r>
          </w:p>
        </w:tc>
        <w:tc>
          <w:tcPr>
            <w:tcW w:w="730"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半腰桥—滨海校区</w:t>
            </w:r>
          </w:p>
        </w:tc>
        <w:tc>
          <w:tcPr>
            <w:tcW w:w="7291" w:type="dxa"/>
            <w:noWrap w:val="0"/>
            <w:vAlign w:val="top"/>
          </w:tcPr>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①半腰桥(公交站)→广化桥(公交站)→下桥北(公交站)→过境路与双星路路口→黄龙康城三组团（公交站）→黄龙康园东门（公交站）→温州西→滨海校区</w:t>
            </w:r>
          </w:p>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②温州西→黄龙康城东门→黄龙康城三组团→过境路与双星路路口→双星路与星海路路口→广化桥→半腰桥</w:t>
            </w:r>
          </w:p>
        </w:tc>
        <w:tc>
          <w:tcPr>
            <w:tcW w:w="730"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温州大厦—滨海校区</w:t>
            </w:r>
          </w:p>
        </w:tc>
        <w:tc>
          <w:tcPr>
            <w:tcW w:w="7291" w:type="dxa"/>
            <w:noWrap w:val="0"/>
            <w:vAlign w:val="top"/>
          </w:tcPr>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温州大厦（公交站）→大南门（公交站）→中山公园（公交站）→文景花苑（民航路公交站）→体育中心西（公交站）→时代广场（公交站）→新城站→计量大楼（公交站）→雁湖社区（公交站）→黄屿大道经八路（公交站)→南仙实验小学路口→文昌路三垟湿地入口→文昌路环山北路口→滨海校区</w:t>
            </w:r>
          </w:p>
        </w:tc>
        <w:tc>
          <w:tcPr>
            <w:tcW w:w="730"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pPr>
              <w:pStyle w:val="2"/>
              <w:keepNext w:val="0"/>
              <w:keepLines w:val="0"/>
              <w:pageBreakBefore w:val="0"/>
              <w:widowControl w:val="0"/>
              <w:kinsoku/>
              <w:wordWrap/>
              <w:overflowPunct/>
              <w:topLinePunct w:val="0"/>
              <w:bidi w:val="0"/>
              <w:snapToGrid w:val="0"/>
              <w:spacing w:after="0"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市体育馆中心—滨海校区</w:t>
            </w:r>
          </w:p>
        </w:tc>
        <w:tc>
          <w:tcPr>
            <w:tcW w:w="7291" w:type="dxa"/>
            <w:noWrap w:val="0"/>
            <w:vAlign w:val="top"/>
          </w:tcPr>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①市体育中心西（公交站）→横渎（公交站）→新城站→雁湖社区→南仙实验小学路口→文昌路三垟湿地入口→文昌路环山北路口→滨海校区</w:t>
            </w:r>
          </w:p>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②滨海校区→文昌路环山北路(公交站)→茶山校区(景观大道正门)→高教博园→茶山街道办事处(公交站)→鹅颈头(公交站)</w:t>
            </w:r>
          </w:p>
        </w:tc>
        <w:tc>
          <w:tcPr>
            <w:tcW w:w="730"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0000F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郭公山—滨海校区</w:t>
            </w:r>
          </w:p>
        </w:tc>
        <w:tc>
          <w:tcPr>
            <w:tcW w:w="7291" w:type="dxa"/>
            <w:noWrap w:val="0"/>
            <w:vAlign w:val="top"/>
          </w:tcPr>
          <w:p>
            <w:pPr>
              <w:pStyle w:val="2"/>
              <w:keepNext w:val="0"/>
              <w:keepLines w:val="0"/>
              <w:pageBreakBefore w:val="0"/>
              <w:widowControl w:val="0"/>
              <w:kinsoku/>
              <w:wordWrap/>
              <w:overflowPunct/>
              <w:topLinePunct w:val="0"/>
              <w:bidi w:val="0"/>
              <w:spacing w:after="0" w:line="360" w:lineRule="exact"/>
              <w:textAlignment w:val="auto"/>
              <w:outlineLvl w:val="0"/>
              <w:rPr>
                <w:rFonts w:hint="eastAsia" w:ascii="宋体" w:hAnsi="宋体" w:eastAsia="宋体" w:cs="宋体"/>
                <w:sz w:val="22"/>
                <w:szCs w:val="22"/>
              </w:rPr>
            </w:pPr>
            <w:r>
              <w:rPr>
                <w:rFonts w:hint="eastAsia" w:ascii="宋体" w:hAnsi="宋体" w:eastAsia="宋体" w:cs="宋体"/>
                <w:sz w:val="22"/>
                <w:szCs w:val="22"/>
              </w:rPr>
              <w:t>郭公山（公交站）→百里坊（公交站）→东门大厦（公交站）→灰桥新村（公交站）→7洪殿（公交站）→府东家园南（公交站）→下陡门（公交站）→.假日花园（公交站）→聚英花园（杨府山下涂公交站）→华侨花园（公交站）→滨江首府（公交站）→万象天地（公交站）→滨海校区</w:t>
            </w:r>
          </w:p>
        </w:tc>
        <w:tc>
          <w:tcPr>
            <w:tcW w:w="730" w:type="dxa"/>
            <w:noWrap w:val="0"/>
            <w:vAlign w:val="center"/>
          </w:tcPr>
          <w:p>
            <w:pPr>
              <w:pStyle w:val="2"/>
              <w:keepNext w:val="0"/>
              <w:keepLines w:val="0"/>
              <w:pageBreakBefore w:val="0"/>
              <w:widowControl w:val="0"/>
              <w:kinsoku/>
              <w:wordWrap/>
              <w:overflowPunct/>
              <w:topLinePunct w:val="0"/>
              <w:bidi w:val="0"/>
              <w:spacing w:after="0" w:line="360" w:lineRule="exact"/>
              <w:jc w:val="center"/>
              <w:textAlignment w:val="auto"/>
              <w:rPr>
                <w:rFonts w:hint="eastAsia" w:ascii="宋体" w:hAnsi="宋体" w:eastAsia="宋体" w:cs="宋体"/>
                <w:color w:val="0000FF"/>
                <w:sz w:val="22"/>
                <w:szCs w:val="22"/>
              </w:rPr>
            </w:pPr>
          </w:p>
        </w:tc>
      </w:tr>
    </w:tbl>
    <w:p>
      <w:pPr>
        <w:pStyle w:val="2"/>
        <w:spacing w:after="0" w:line="360" w:lineRule="exact"/>
        <w:rPr>
          <w:rFonts w:hint="eastAsia" w:ascii="宋体" w:hAnsi="宋体" w:eastAsia="宋体" w:cs="宋体"/>
          <w:sz w:val="22"/>
        </w:rPr>
      </w:pPr>
      <w:r>
        <w:rPr>
          <w:rFonts w:hint="eastAsia" w:ascii="宋体" w:hAnsi="宋体" w:eastAsia="宋体" w:cs="宋体"/>
          <w:sz w:val="22"/>
        </w:rPr>
        <w:t>二、茶山校区—滨海校区之间往返</w:t>
      </w:r>
    </w:p>
    <w:tbl>
      <w:tblPr>
        <w:tblStyle w:val="11"/>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6933"/>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3" w:type="dxa"/>
            <w:noWrap w:val="0"/>
            <w:vAlign w:val="center"/>
          </w:tcPr>
          <w:p>
            <w:pPr>
              <w:pStyle w:val="2"/>
              <w:spacing w:after="0" w:line="360" w:lineRule="exact"/>
              <w:jc w:val="center"/>
              <w:outlineLvl w:val="0"/>
              <w:rPr>
                <w:rFonts w:hint="eastAsia" w:ascii="宋体" w:hAnsi="宋体" w:eastAsia="宋体" w:cs="宋体"/>
                <w:sz w:val="22"/>
              </w:rPr>
            </w:pPr>
            <w:bookmarkStart w:id="1" w:name="_Toc254"/>
            <w:r>
              <w:rPr>
                <w:rFonts w:hint="eastAsia" w:ascii="宋体" w:hAnsi="宋体" w:eastAsia="宋体" w:cs="宋体"/>
                <w:sz w:val="22"/>
              </w:rPr>
              <w:t>班线</w:t>
            </w:r>
            <w:bookmarkEnd w:id="1"/>
          </w:p>
        </w:tc>
        <w:tc>
          <w:tcPr>
            <w:tcW w:w="6933" w:type="dxa"/>
            <w:noWrap w:val="0"/>
            <w:vAlign w:val="center"/>
          </w:tcPr>
          <w:p>
            <w:pPr>
              <w:pStyle w:val="2"/>
              <w:spacing w:after="0" w:line="360" w:lineRule="exact"/>
              <w:jc w:val="center"/>
              <w:outlineLvl w:val="0"/>
              <w:rPr>
                <w:rFonts w:hint="eastAsia" w:ascii="宋体" w:hAnsi="宋体" w:eastAsia="宋体" w:cs="宋体"/>
                <w:color w:val="auto"/>
                <w:sz w:val="22"/>
              </w:rPr>
            </w:pPr>
            <w:bookmarkStart w:id="2" w:name="_Toc25914"/>
            <w:r>
              <w:rPr>
                <w:rFonts w:hint="eastAsia" w:ascii="宋体" w:hAnsi="宋体" w:eastAsia="宋体" w:cs="宋体"/>
                <w:color w:val="auto"/>
                <w:sz w:val="22"/>
              </w:rPr>
              <w:t>路线</w:t>
            </w:r>
            <w:bookmarkEnd w:id="2"/>
          </w:p>
        </w:tc>
        <w:tc>
          <w:tcPr>
            <w:tcW w:w="742" w:type="dxa"/>
            <w:noWrap w:val="0"/>
            <w:vAlign w:val="top"/>
          </w:tcPr>
          <w:p>
            <w:pPr>
              <w:pStyle w:val="2"/>
              <w:spacing w:after="0" w:line="360" w:lineRule="exact"/>
              <w:jc w:val="center"/>
              <w:outlineLvl w:val="0"/>
              <w:rPr>
                <w:rFonts w:hint="eastAsia" w:ascii="宋体" w:hAnsi="宋体" w:eastAsia="宋体" w:cs="宋体"/>
                <w:color w:val="auto"/>
                <w:sz w:val="22"/>
              </w:rPr>
            </w:pPr>
            <w:bookmarkStart w:id="3" w:name="_Toc29711"/>
            <w:r>
              <w:rPr>
                <w:rFonts w:hint="eastAsia" w:ascii="宋体" w:hAnsi="宋体" w:eastAsia="宋体" w:cs="宋体"/>
                <w:color w:val="auto"/>
                <w:sz w:val="22"/>
              </w:rPr>
              <w:t>备注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3" w:type="dxa"/>
            <w:noWrap w:val="0"/>
            <w:vAlign w:val="center"/>
          </w:tcPr>
          <w:p>
            <w:pPr>
              <w:pStyle w:val="2"/>
              <w:spacing w:after="0" w:line="360" w:lineRule="exact"/>
              <w:jc w:val="center"/>
              <w:rPr>
                <w:rFonts w:hint="eastAsia" w:ascii="宋体" w:hAnsi="宋体" w:eastAsia="宋体" w:cs="宋体"/>
                <w:sz w:val="22"/>
              </w:rPr>
            </w:pPr>
            <w:r>
              <w:rPr>
                <w:rFonts w:hint="eastAsia" w:ascii="宋体" w:hAnsi="宋体" w:eastAsia="宋体" w:cs="宋体"/>
                <w:sz w:val="22"/>
              </w:rPr>
              <w:t>茶山校区—滨海校区 1号线</w:t>
            </w:r>
          </w:p>
        </w:tc>
        <w:tc>
          <w:tcPr>
            <w:tcW w:w="6933" w:type="dxa"/>
            <w:noWrap w:val="0"/>
            <w:vAlign w:val="top"/>
          </w:tcPr>
          <w:p>
            <w:pPr>
              <w:pStyle w:val="2"/>
              <w:spacing w:after="0" w:line="360" w:lineRule="exact"/>
              <w:outlineLvl w:val="0"/>
              <w:rPr>
                <w:rFonts w:hint="eastAsia" w:ascii="宋体" w:hAnsi="宋体" w:eastAsia="宋体" w:cs="宋体"/>
                <w:sz w:val="22"/>
              </w:rPr>
            </w:pPr>
            <w:bookmarkStart w:id="4" w:name="_Toc18919"/>
            <w:r>
              <w:rPr>
                <w:rFonts w:hint="eastAsia" w:ascii="宋体" w:hAnsi="宋体" w:eastAsia="宋体" w:cs="宋体"/>
                <w:sz w:val="22"/>
              </w:rPr>
              <w:t>①茶山校区(景观大道正门)→ 高教博园→ 茶山街道办事处（公交站）→高科锦园（公交站）→霞新路（公交站）→温州乐园（公交站)→白象东→滨海校区</w:t>
            </w:r>
            <w:bookmarkEnd w:id="4"/>
          </w:p>
          <w:p>
            <w:pPr>
              <w:pStyle w:val="2"/>
              <w:spacing w:after="0" w:line="360" w:lineRule="exact"/>
              <w:outlineLvl w:val="0"/>
              <w:rPr>
                <w:rFonts w:hint="eastAsia" w:ascii="宋体" w:hAnsi="宋体" w:eastAsia="宋体" w:cs="宋体"/>
                <w:sz w:val="22"/>
              </w:rPr>
            </w:pPr>
            <w:bookmarkStart w:id="5" w:name="_Toc25226"/>
            <w:r>
              <w:rPr>
                <w:rFonts w:hint="eastAsia" w:ascii="宋体" w:hAnsi="宋体" w:eastAsia="宋体" w:cs="宋体"/>
                <w:sz w:val="22"/>
              </w:rPr>
              <w:t>②滨海校区→文昌路环山北路（公交站）→茶山校区(景观大道正门)</w:t>
            </w:r>
            <w:bookmarkEnd w:id="5"/>
          </w:p>
        </w:tc>
        <w:tc>
          <w:tcPr>
            <w:tcW w:w="742" w:type="dxa"/>
            <w:noWrap w:val="0"/>
            <w:vAlign w:val="center"/>
          </w:tcPr>
          <w:p>
            <w:pPr>
              <w:pStyle w:val="2"/>
              <w:spacing w:after="0" w:line="360" w:lineRule="exact"/>
              <w:jc w:val="center"/>
              <w:outlineLvl w:val="0"/>
              <w:rPr>
                <w:rFonts w:hint="eastAsia" w:ascii="宋体" w:hAnsi="宋体" w:eastAsia="宋体" w:cs="宋体"/>
                <w:color w:val="0000FF"/>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3" w:type="dxa"/>
            <w:noWrap w:val="0"/>
            <w:vAlign w:val="center"/>
          </w:tcPr>
          <w:p>
            <w:pPr>
              <w:pStyle w:val="2"/>
              <w:spacing w:after="0" w:line="360" w:lineRule="exact"/>
              <w:jc w:val="center"/>
              <w:rPr>
                <w:rFonts w:hint="eastAsia" w:ascii="宋体" w:hAnsi="宋体" w:eastAsia="宋体" w:cs="宋体"/>
                <w:sz w:val="22"/>
              </w:rPr>
            </w:pPr>
            <w:r>
              <w:rPr>
                <w:rFonts w:hint="eastAsia" w:ascii="宋体" w:hAnsi="宋体" w:eastAsia="宋体" w:cs="宋体"/>
                <w:sz w:val="22"/>
              </w:rPr>
              <w:t>茶山校区—滨海校区 2号线</w:t>
            </w:r>
          </w:p>
        </w:tc>
        <w:tc>
          <w:tcPr>
            <w:tcW w:w="6933" w:type="dxa"/>
            <w:noWrap w:val="0"/>
            <w:vAlign w:val="top"/>
          </w:tcPr>
          <w:p>
            <w:pPr>
              <w:pStyle w:val="2"/>
              <w:spacing w:after="0" w:line="360" w:lineRule="exact"/>
              <w:outlineLvl w:val="0"/>
              <w:rPr>
                <w:rFonts w:hint="eastAsia" w:ascii="宋体" w:hAnsi="宋体" w:eastAsia="宋体" w:cs="宋体"/>
                <w:sz w:val="22"/>
              </w:rPr>
            </w:pPr>
            <w:bookmarkStart w:id="6" w:name="_Toc9868"/>
            <w:r>
              <w:rPr>
                <w:rFonts w:hint="eastAsia" w:ascii="宋体" w:hAnsi="宋体" w:eastAsia="宋体" w:cs="宋体"/>
                <w:sz w:val="22"/>
              </w:rPr>
              <w:t>①茶山校区(景观大道正门)→高教博园→茶山街道办事处 (公交站)→南白象街道办事处(公交站）→滨海校区</w:t>
            </w:r>
            <w:bookmarkEnd w:id="6"/>
          </w:p>
          <w:p>
            <w:pPr>
              <w:pStyle w:val="2"/>
              <w:spacing w:after="0" w:line="360" w:lineRule="exact"/>
              <w:outlineLvl w:val="0"/>
              <w:rPr>
                <w:rFonts w:hint="eastAsia" w:ascii="宋体" w:hAnsi="宋体" w:eastAsia="宋体" w:cs="宋体"/>
                <w:sz w:val="22"/>
              </w:rPr>
            </w:pPr>
            <w:bookmarkStart w:id="7" w:name="_Toc23412"/>
            <w:r>
              <w:rPr>
                <w:rFonts w:hint="eastAsia" w:ascii="宋体" w:hAnsi="宋体" w:eastAsia="宋体" w:cs="宋体"/>
                <w:sz w:val="22"/>
              </w:rPr>
              <w:t>②滨海校区→文昌路环山北路(公交站)→茶山校区(景观大道正门)→高教博园</w:t>
            </w:r>
            <w:bookmarkEnd w:id="7"/>
          </w:p>
        </w:tc>
        <w:tc>
          <w:tcPr>
            <w:tcW w:w="742" w:type="dxa"/>
            <w:noWrap w:val="0"/>
            <w:vAlign w:val="center"/>
          </w:tcPr>
          <w:p>
            <w:pPr>
              <w:pStyle w:val="2"/>
              <w:spacing w:after="0" w:line="360" w:lineRule="exact"/>
              <w:jc w:val="center"/>
              <w:outlineLvl w:val="0"/>
              <w:rPr>
                <w:rFonts w:hint="eastAsia" w:ascii="宋体" w:hAnsi="宋体" w:eastAsia="宋体" w:cs="宋体"/>
                <w:color w:val="0000FF"/>
                <w:sz w:val="22"/>
              </w:rPr>
            </w:pPr>
          </w:p>
        </w:tc>
      </w:tr>
    </w:tbl>
    <w:p>
      <w:pPr>
        <w:pStyle w:val="5"/>
        <w:keepNext w:val="0"/>
        <w:keepLines w:val="0"/>
        <w:pageBreakBefore w:val="0"/>
        <w:widowControl w:val="0"/>
        <w:kinsoku/>
        <w:wordWrap/>
        <w:overflowPunct/>
        <w:topLinePunct w:val="0"/>
        <w:bidi w:val="0"/>
        <w:spacing w:after="0" w:line="360" w:lineRule="exact"/>
        <w:ind w:left="0" w:leftChars="0" w:right="0" w:rightChars="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（3）以上排班表与路线仅供参考，具体以采购人实际运营情况为准。</w:t>
      </w:r>
    </w:p>
    <w:p>
      <w:pPr>
        <w:pStyle w:val="5"/>
        <w:keepNext w:val="0"/>
        <w:keepLines w:val="0"/>
        <w:pageBreakBefore w:val="0"/>
        <w:widowControl w:val="0"/>
        <w:kinsoku/>
        <w:wordWrap/>
        <w:overflowPunct/>
        <w:topLinePunct w:val="0"/>
        <w:bidi w:val="0"/>
        <w:spacing w:after="0" w:line="360" w:lineRule="exact"/>
        <w:ind w:left="0" w:leftChars="0" w:right="0" w:rightChars="0"/>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四、租期</w:t>
      </w:r>
    </w:p>
    <w:p>
      <w:pPr>
        <w:keepNext w:val="0"/>
        <w:keepLines w:val="0"/>
        <w:pageBreakBefore w:val="0"/>
        <w:widowControl w:val="0"/>
        <w:kinsoku/>
        <w:wordWrap/>
        <w:overflowPunct/>
        <w:topLinePunct w:val="0"/>
        <w:bidi w:val="0"/>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租期：服务期至2026年3月31日或总用车服务金额达到预算金额时，自动终止。</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五、费用结算方式及履约保证金</w:t>
      </w:r>
    </w:p>
    <w:p>
      <w:pPr>
        <w:keepNext w:val="0"/>
        <w:keepLines w:val="0"/>
        <w:pageBreakBefore w:val="0"/>
        <w:widowControl w:val="0"/>
        <w:kinsoku/>
        <w:wordWrap/>
        <w:overflowPunct/>
        <w:topLinePunct w:val="0"/>
        <w:bidi w:val="0"/>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（一）结算方式</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1.签订合同后</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rPr>
        <w:t>收到</w:t>
      </w:r>
      <w:r>
        <w:rPr>
          <w:rFonts w:hint="eastAsia" w:ascii="宋体" w:hAnsi="宋体" w:eastAsia="宋体" w:cs="宋体"/>
          <w:color w:val="auto"/>
          <w:sz w:val="22"/>
          <w:szCs w:val="22"/>
          <w:lang w:val="en-US" w:eastAsia="zh-CN"/>
        </w:rPr>
        <w:t>成交供应商</w:t>
      </w:r>
      <w:r>
        <w:rPr>
          <w:rFonts w:hint="eastAsia" w:ascii="宋体" w:hAnsi="宋体" w:eastAsia="宋体" w:cs="宋体"/>
          <w:color w:val="auto"/>
          <w:sz w:val="22"/>
          <w:szCs w:val="22"/>
        </w:rPr>
        <w:t>出具合同金额</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0%保函后向乙方支付合同</w:t>
      </w:r>
      <w:r>
        <w:rPr>
          <w:rFonts w:hint="eastAsia" w:ascii="宋体" w:hAnsi="宋体" w:eastAsia="宋体" w:cs="宋体"/>
          <w:color w:val="auto"/>
          <w:sz w:val="22"/>
          <w:szCs w:val="22"/>
          <w:highlight w:val="none"/>
        </w:rPr>
        <w:t>总额</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0%的</w:t>
      </w:r>
      <w:r>
        <w:rPr>
          <w:rFonts w:hint="eastAsia" w:ascii="宋体" w:hAnsi="宋体" w:eastAsia="宋体" w:cs="宋体"/>
          <w:color w:val="auto"/>
          <w:sz w:val="22"/>
          <w:szCs w:val="22"/>
        </w:rPr>
        <w:t>预付款。</w:t>
      </w:r>
    </w:p>
    <w:p>
      <w:pPr>
        <w:keepNext w:val="0"/>
        <w:keepLines w:val="0"/>
        <w:pageBreakBefore w:val="0"/>
        <w:widowControl w:val="0"/>
        <w:numPr>
          <w:ilvl w:val="1"/>
          <w:numId w:val="0"/>
        </w:numPr>
        <w:kinsoku/>
        <w:wordWrap/>
        <w:overflowPunct/>
        <w:topLinePunct w:val="0"/>
        <w:bidi w:val="0"/>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2.剩余每月按实际趟数结算(金额：实际发车天数*中标单价)。</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rPr>
        <w:t>根据</w:t>
      </w:r>
      <w:r>
        <w:rPr>
          <w:rFonts w:hint="eastAsia" w:ascii="宋体" w:hAnsi="宋体" w:eastAsia="宋体" w:cs="宋体"/>
          <w:color w:val="auto"/>
          <w:sz w:val="22"/>
          <w:szCs w:val="22"/>
          <w:lang w:val="en-US" w:eastAsia="zh-CN"/>
        </w:rPr>
        <w:t>成交供应商</w:t>
      </w:r>
      <w:r>
        <w:rPr>
          <w:rFonts w:hint="eastAsia" w:ascii="宋体" w:hAnsi="宋体" w:eastAsia="宋体" w:cs="宋体"/>
          <w:color w:val="auto"/>
          <w:sz w:val="22"/>
          <w:szCs w:val="22"/>
        </w:rPr>
        <w:t>开具的正式税务发票，于开具正式税务发票之日后7个工作日内支付。</w:t>
      </w:r>
    </w:p>
    <w:p>
      <w:pPr>
        <w:keepNext w:val="0"/>
        <w:keepLines w:val="0"/>
        <w:pageBreakBefore w:val="0"/>
        <w:widowControl w:val="0"/>
        <w:numPr>
          <w:ilvl w:val="1"/>
          <w:numId w:val="0"/>
        </w:numPr>
        <w:kinsoku/>
        <w:wordWrap/>
        <w:overflowPunct/>
        <w:topLinePunct w:val="0"/>
        <w:bidi w:val="0"/>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注：在签订合同时，</w:t>
      </w:r>
      <w:r>
        <w:rPr>
          <w:rFonts w:hint="eastAsia" w:ascii="宋体" w:hAnsi="宋体" w:eastAsia="宋体" w:cs="宋体"/>
          <w:color w:val="auto"/>
          <w:sz w:val="22"/>
          <w:szCs w:val="22"/>
          <w:lang w:val="en-US" w:eastAsia="zh-CN"/>
        </w:rPr>
        <w:t>成交供应商</w:t>
      </w:r>
      <w:r>
        <w:rPr>
          <w:rFonts w:hint="eastAsia" w:ascii="宋体" w:hAnsi="宋体" w:eastAsia="宋体" w:cs="宋体"/>
          <w:color w:val="auto"/>
          <w:sz w:val="22"/>
          <w:szCs w:val="22"/>
        </w:rPr>
        <w:t>明确表示无需预付款或者主动要求降低预付款比例的，按实际比例计。甲方对于满足合同约定支付条件的，自收到发票后7个工作日内将资金支付到合同约定的乙方账户。</w:t>
      </w:r>
    </w:p>
    <w:p>
      <w:pPr>
        <w:keepNext w:val="0"/>
        <w:keepLines w:val="0"/>
        <w:pageBreakBefore w:val="0"/>
        <w:widowControl w:val="0"/>
        <w:tabs>
          <w:tab w:val="left" w:pos="1545"/>
        </w:tabs>
        <w:kinsoku/>
        <w:wordWrap/>
        <w:overflowPunct/>
        <w:topLinePunct w:val="0"/>
        <w:autoSpaceDE w:val="0"/>
        <w:autoSpaceDN w:val="0"/>
        <w:bidi w:val="0"/>
        <w:adjustRightInd w:val="0"/>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（二）履约保证金</w:t>
      </w:r>
    </w:p>
    <w:p>
      <w:pPr>
        <w:keepNext w:val="0"/>
        <w:keepLines w:val="0"/>
        <w:pageBreakBefore w:val="0"/>
        <w:widowControl w:val="0"/>
        <w:kinsoku/>
        <w:wordWrap/>
        <w:overflowPunct/>
        <w:topLinePunct w:val="0"/>
        <w:bidi w:val="0"/>
        <w:spacing w:line="360" w:lineRule="exact"/>
        <w:ind w:firstLine="416"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spacing w:val="-6"/>
          <w:sz w:val="22"/>
          <w:szCs w:val="22"/>
        </w:rPr>
        <w:t>履约保证金金额：</w:t>
      </w:r>
      <w:r>
        <w:rPr>
          <w:rFonts w:hint="eastAsia" w:ascii="宋体" w:hAnsi="宋体" w:eastAsia="宋体" w:cs="宋体"/>
          <w:color w:val="auto"/>
          <w:kern w:val="0"/>
          <w:sz w:val="22"/>
          <w:szCs w:val="22"/>
          <w:lang w:eastAsia="zh-CN"/>
        </w:rPr>
        <w:t>4500</w:t>
      </w:r>
      <w:r>
        <w:rPr>
          <w:rFonts w:hint="eastAsia" w:ascii="宋体" w:hAnsi="宋体" w:eastAsia="宋体" w:cs="宋体"/>
          <w:color w:val="auto"/>
          <w:kern w:val="0"/>
          <w:sz w:val="22"/>
          <w:szCs w:val="22"/>
        </w:rPr>
        <w:t>元。</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履约保证金支付方式：由</w:t>
      </w:r>
      <w:r>
        <w:rPr>
          <w:rFonts w:hint="eastAsia" w:ascii="宋体" w:hAnsi="宋体" w:eastAsia="宋体" w:cs="宋体"/>
          <w:color w:val="auto"/>
          <w:sz w:val="22"/>
          <w:szCs w:val="22"/>
          <w:lang w:val="en-US" w:eastAsia="zh-CN"/>
        </w:rPr>
        <w:t>成交供应商</w:t>
      </w:r>
      <w:r>
        <w:rPr>
          <w:rFonts w:hint="eastAsia" w:ascii="宋体" w:hAnsi="宋体" w:eastAsia="宋体" w:cs="宋体"/>
          <w:color w:val="auto"/>
          <w:kern w:val="0"/>
          <w:sz w:val="22"/>
          <w:szCs w:val="22"/>
        </w:rPr>
        <w:t>在</w:t>
      </w:r>
      <w:r>
        <w:rPr>
          <w:rFonts w:hint="eastAsia" w:ascii="宋体" w:hAnsi="宋体" w:eastAsia="宋体" w:cs="宋体"/>
          <w:color w:val="auto"/>
          <w:spacing w:val="-6"/>
          <w:sz w:val="22"/>
          <w:szCs w:val="22"/>
        </w:rPr>
        <w:t>合同签订后5个工作日内，</w:t>
      </w:r>
      <w:r>
        <w:rPr>
          <w:rFonts w:hint="eastAsia" w:ascii="宋体" w:hAnsi="宋体" w:eastAsia="宋体" w:cs="宋体"/>
          <w:color w:val="auto"/>
          <w:sz w:val="22"/>
          <w:szCs w:val="22"/>
        </w:rPr>
        <w:t>以支票、汇票、本票或者金融机构、担保机构出具的保函等非现金形式</w:t>
      </w:r>
      <w:r>
        <w:rPr>
          <w:rFonts w:hint="eastAsia" w:ascii="宋体" w:hAnsi="宋体" w:eastAsia="宋体" w:cs="宋体"/>
          <w:color w:val="auto"/>
          <w:kern w:val="0"/>
          <w:sz w:val="22"/>
          <w:szCs w:val="22"/>
        </w:rPr>
        <w:t>向采购人缴纳。</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（三）服务考核奖按“附件 </w:t>
      </w:r>
      <w:r>
        <w:rPr>
          <w:rFonts w:hint="eastAsia" w:ascii="宋体" w:hAnsi="宋体" w:eastAsia="宋体" w:cs="宋体"/>
          <w:b/>
          <w:bCs/>
          <w:sz w:val="22"/>
          <w:szCs w:val="22"/>
        </w:rPr>
        <w:t xml:space="preserve">《理工学院校车接送服务安全考核办法》 </w:t>
      </w:r>
      <w:r>
        <w:rPr>
          <w:rFonts w:hint="eastAsia" w:ascii="宋体" w:hAnsi="宋体" w:eastAsia="宋体" w:cs="宋体"/>
          <w:sz w:val="22"/>
          <w:szCs w:val="22"/>
        </w:rPr>
        <w:t>” 每月考核后按以下要求核算支付。考核分连续2个月及以上在70分（不含）以下的，甲方有权</w:t>
      </w:r>
      <w:r>
        <w:rPr>
          <w:rFonts w:hint="eastAsia" w:ascii="宋体" w:hAnsi="宋体" w:eastAsia="宋体" w:cs="宋体"/>
          <w:sz w:val="22"/>
          <w:szCs w:val="22"/>
          <w:lang w:val="en-US" w:eastAsia="zh-CN"/>
        </w:rPr>
        <w:t>单</w:t>
      </w:r>
      <w:r>
        <w:rPr>
          <w:rFonts w:hint="eastAsia" w:ascii="宋体" w:hAnsi="宋体" w:eastAsia="宋体" w:cs="宋体"/>
          <w:sz w:val="22"/>
          <w:szCs w:val="22"/>
        </w:rPr>
        <w:t>方面解除合同，并没收当月的结算费用。考核分在70分（不含）以下，提出整改警告并服务费扣当月结算费20%；在80分（不含）扣除当月结算费10%，在90分（不含）扣除当月结算费5%，90分（含）以上为优秀。</w:t>
      </w:r>
    </w:p>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b/>
          <w:bCs/>
          <w:kern w:val="0"/>
          <w:sz w:val="22"/>
          <w:szCs w:val="22"/>
        </w:rPr>
      </w:pPr>
      <w:r>
        <w:rPr>
          <w:rFonts w:hint="eastAsia" w:ascii="宋体" w:hAnsi="宋体" w:eastAsia="宋体" w:cs="宋体"/>
          <w:b/>
          <w:bCs/>
          <w:sz w:val="22"/>
          <w:szCs w:val="22"/>
        </w:rPr>
        <w:t xml:space="preserve">理工学院校车接送服务安全考核办法  </w:t>
      </w:r>
      <w:r>
        <w:rPr>
          <w:rFonts w:hint="eastAsia" w:ascii="宋体" w:hAnsi="宋体" w:eastAsia="宋体" w:cs="宋体"/>
          <w:b/>
          <w:bCs/>
          <w:kern w:val="0"/>
          <w:sz w:val="22"/>
          <w:szCs w:val="22"/>
        </w:rPr>
        <w:t xml:space="preserve"> </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为规范校车运营行为、提高运营质量、保障校车运营安全，根据据《校车安全管理条例》（国务院令第167号）和省、市校车安全管理工作的文件精神，结合我校实际，特制定理工学院校车接送服务安全考核办法。</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一、考核细则</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理工学院校车考核采取日常监管考核与满意度测评相结合的方式进行。安全服务考核为日常监管考核。</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rPr>
        <w:t>（一）日常监管考</w:t>
      </w:r>
      <w:r>
        <w:rPr>
          <w:rFonts w:hint="eastAsia" w:ascii="宋体" w:hAnsi="宋体" w:eastAsia="宋体" w:cs="宋体"/>
          <w:sz w:val="22"/>
          <w:szCs w:val="22"/>
          <w:highlight w:val="none"/>
        </w:rPr>
        <w:t>核</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1.定期与不定期组织开展日常检查，如发现有下列问题的，每项每次扣5分，并督促至整改为止。</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（1）使用未获校车使用许可车辆接送师生；</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（2）校车驾驶员不符合《校车安全管理条例》的规定或未取得驾驶资格；</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（3）校车接送师生人数超过核定人数；</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（4）校车在运载师生过程中，存在允许除驾驶人以外的人员乘坐；</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（5）乘坐校车师生未系安全带；</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（6）校车行驶线路未按照专用校车审批线路运行；</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（7）校车未装备逃生锤、急救箱、具有行驶记录功能的卫星定位装置；</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（8）急救箱内药品过期或未准备；</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（9）校车没有配备灭火器或者灭火器失效；</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（10）校车驾驶员不能熟练使用灭火器；</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（11）校车服务单位未建立健全安全管理制度、没有与学校签订安全管理责任书；</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（12）校车安全管理人员、驾驶员不知晓《校车安全管理条例》基本内容。</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2.市级公安、交通、教育、安监等部门日常督查，发现有违反《校车安全管理条例》的，每项扣10分。</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3.被省、市政府平安暗访扣分的，每次扣10分。</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highlight w:val="none"/>
        </w:rPr>
        <w:t>4.发生安全事故一起造成师生受伤的，扣20分；发生安全事故一起并造成1名师生以上</w:t>
      </w:r>
      <w:r>
        <w:rPr>
          <w:rFonts w:hint="eastAsia" w:ascii="宋体" w:hAnsi="宋体" w:eastAsia="宋体" w:cs="宋体"/>
          <w:sz w:val="22"/>
          <w:szCs w:val="22"/>
        </w:rPr>
        <w:t>死亡的，扣40分并处没收当月结算费用，其他责任自行负责。</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（二）满意度测评</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每月至少1次进行测评（见附件理工学院校车接送服务安全考核测评表）。按照综合评价满意率测算，90分（含）及以上满意率为优秀、90（不含）-80分以下扣当月结算费用5%，在80分（不含）扣除当月结算费10%，考核分在70分（不含）以下，提出整改警告并服务费扣当月结算费20%，考核分连续2个月及以上在70分（不含）以下的，甲方有权当方面解除合同，并没收当月的结算费用。</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三、结算方式</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每月按实际趟数结算。</w:t>
      </w:r>
    </w:p>
    <w:p>
      <w:pPr>
        <w:keepNext w:val="0"/>
        <w:keepLines w:val="0"/>
        <w:pageBreakBefore w:val="0"/>
        <w:widowControl w:val="0"/>
        <w:kinsoku/>
        <w:wordWrap/>
        <w:overflowPunct/>
        <w:topLinePunct w:val="0"/>
        <w:bidi w:val="0"/>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附件：理工学院校车接送服务安全考核测评表</w:t>
      </w:r>
    </w:p>
    <w:p>
      <w:pPr>
        <w:spacing w:line="360" w:lineRule="exact"/>
        <w:jc w:val="center"/>
        <w:rPr>
          <w:rFonts w:hint="eastAsia" w:ascii="宋体" w:hAnsi="宋体" w:eastAsia="宋体" w:cs="宋体"/>
          <w:b/>
          <w:bCs/>
          <w:sz w:val="22"/>
        </w:rPr>
      </w:pPr>
      <w:r>
        <w:rPr>
          <w:rFonts w:hint="eastAsia" w:ascii="宋体" w:hAnsi="宋体" w:eastAsia="宋体" w:cs="宋体"/>
          <w:b/>
          <w:bCs/>
          <w:sz w:val="22"/>
        </w:rPr>
        <w:t>理工学院校车接送服务安全考核测评表</w:t>
      </w:r>
    </w:p>
    <w:p>
      <w:pPr>
        <w:spacing w:line="360" w:lineRule="exact"/>
        <w:rPr>
          <w:rFonts w:hint="eastAsia" w:ascii="宋体" w:hAnsi="宋体" w:eastAsia="宋体" w:cs="宋体"/>
          <w:sz w:val="22"/>
        </w:rPr>
      </w:pPr>
      <w:r>
        <w:rPr>
          <w:rFonts w:hint="eastAsia" w:ascii="宋体" w:hAnsi="宋体" w:eastAsia="宋体" w:cs="宋体"/>
          <w:sz w:val="22"/>
        </w:rPr>
        <w:t xml:space="preserve">                </w:t>
      </w:r>
    </w:p>
    <w:tbl>
      <w:tblPr>
        <w:tblStyle w:val="10"/>
        <w:tblpPr w:leftFromText="180" w:rightFromText="180" w:vertAnchor="text" w:horzAnchor="margin" w:tblpY="131"/>
        <w:tblOverlap w:val="never"/>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714"/>
        <w:gridCol w:w="1635"/>
        <w:gridCol w:w="1605"/>
        <w:gridCol w:w="1755"/>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35" w:type="dxa"/>
            <w:vMerge w:val="restart"/>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测评项目</w:t>
            </w:r>
          </w:p>
        </w:tc>
        <w:tc>
          <w:tcPr>
            <w:tcW w:w="1714"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安全行车</w:t>
            </w:r>
          </w:p>
        </w:tc>
        <w:tc>
          <w:tcPr>
            <w:tcW w:w="163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车辆管理</w:t>
            </w:r>
          </w:p>
        </w:tc>
        <w:tc>
          <w:tcPr>
            <w:tcW w:w="160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驾驶员管理</w:t>
            </w:r>
          </w:p>
        </w:tc>
        <w:tc>
          <w:tcPr>
            <w:tcW w:w="175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服务态度</w:t>
            </w:r>
          </w:p>
        </w:tc>
        <w:tc>
          <w:tcPr>
            <w:tcW w:w="1494"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35" w:type="dxa"/>
            <w:vMerge w:val="continue"/>
            <w:noWrap w:val="0"/>
            <w:vAlign w:val="center"/>
          </w:tcPr>
          <w:p>
            <w:pPr>
              <w:spacing w:line="360" w:lineRule="exact"/>
              <w:jc w:val="center"/>
              <w:rPr>
                <w:rFonts w:hint="eastAsia" w:ascii="宋体" w:hAnsi="宋体" w:eastAsia="宋体" w:cs="宋体"/>
                <w:sz w:val="22"/>
              </w:rPr>
            </w:pPr>
          </w:p>
        </w:tc>
        <w:tc>
          <w:tcPr>
            <w:tcW w:w="1714" w:type="dxa"/>
            <w:noWrap w:val="0"/>
            <w:vAlign w:val="center"/>
          </w:tcPr>
          <w:p>
            <w:pPr>
              <w:spacing w:line="360" w:lineRule="exact"/>
              <w:rPr>
                <w:rFonts w:hint="eastAsia" w:ascii="宋体" w:hAnsi="宋体" w:eastAsia="宋体" w:cs="宋体"/>
                <w:sz w:val="22"/>
              </w:rPr>
            </w:pPr>
          </w:p>
        </w:tc>
        <w:tc>
          <w:tcPr>
            <w:tcW w:w="1635" w:type="dxa"/>
            <w:noWrap w:val="0"/>
            <w:vAlign w:val="center"/>
          </w:tcPr>
          <w:p>
            <w:pPr>
              <w:spacing w:line="360" w:lineRule="exact"/>
              <w:rPr>
                <w:rFonts w:hint="eastAsia" w:ascii="宋体" w:hAnsi="宋体" w:eastAsia="宋体" w:cs="宋体"/>
                <w:sz w:val="22"/>
              </w:rPr>
            </w:pPr>
          </w:p>
        </w:tc>
        <w:tc>
          <w:tcPr>
            <w:tcW w:w="1605" w:type="dxa"/>
            <w:noWrap w:val="0"/>
            <w:vAlign w:val="center"/>
          </w:tcPr>
          <w:p>
            <w:pPr>
              <w:spacing w:line="360" w:lineRule="exact"/>
              <w:rPr>
                <w:rFonts w:hint="eastAsia" w:ascii="宋体" w:hAnsi="宋体" w:eastAsia="宋体" w:cs="宋体"/>
                <w:sz w:val="22"/>
              </w:rPr>
            </w:pPr>
          </w:p>
        </w:tc>
        <w:tc>
          <w:tcPr>
            <w:tcW w:w="1755" w:type="dxa"/>
            <w:noWrap w:val="0"/>
            <w:vAlign w:val="center"/>
          </w:tcPr>
          <w:p>
            <w:pPr>
              <w:spacing w:line="360" w:lineRule="exact"/>
              <w:rPr>
                <w:rFonts w:hint="eastAsia" w:ascii="宋体" w:hAnsi="宋体" w:eastAsia="宋体" w:cs="宋体"/>
                <w:sz w:val="22"/>
              </w:rPr>
            </w:pPr>
          </w:p>
        </w:tc>
        <w:tc>
          <w:tcPr>
            <w:tcW w:w="1494" w:type="dxa"/>
            <w:noWrap w:val="0"/>
            <w:vAlign w:val="center"/>
          </w:tcPr>
          <w:p>
            <w:pPr>
              <w:spacing w:line="360" w:lineRule="exact"/>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73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服务工作小结</w:t>
            </w:r>
          </w:p>
        </w:tc>
        <w:tc>
          <w:tcPr>
            <w:tcW w:w="8203" w:type="dxa"/>
            <w:gridSpan w:val="5"/>
            <w:noWrap w:val="0"/>
            <w:vAlign w:val="top"/>
          </w:tcPr>
          <w:p>
            <w:pPr>
              <w:spacing w:line="360" w:lineRule="exact"/>
              <w:rPr>
                <w:rFonts w:hint="eastAsia" w:ascii="宋体" w:hAnsi="宋体" w:eastAsia="宋体" w:cs="宋体"/>
                <w:sz w:val="22"/>
              </w:rPr>
            </w:pPr>
            <w:r>
              <w:rPr>
                <w:rFonts w:hint="eastAsia" w:ascii="宋体" w:hAnsi="宋体" w:eastAsia="宋体" w:cs="宋体"/>
                <w:sz w:val="22"/>
              </w:rPr>
              <w:t>结合校车服务要求，从安全行车、车辆管理、驾驶员管理、服务态度和综合评价等方面进行小结：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73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服务异常情况</w:t>
            </w:r>
          </w:p>
        </w:tc>
        <w:tc>
          <w:tcPr>
            <w:tcW w:w="8203" w:type="dxa"/>
            <w:gridSpan w:val="5"/>
            <w:noWrap w:val="0"/>
            <w:vAlign w:val="center"/>
          </w:tcPr>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73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改进措施及建议</w:t>
            </w:r>
          </w:p>
        </w:tc>
        <w:tc>
          <w:tcPr>
            <w:tcW w:w="8203" w:type="dxa"/>
            <w:gridSpan w:val="5"/>
            <w:noWrap w:val="0"/>
            <w:vAlign w:val="center"/>
          </w:tcPr>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735" w:type="dxa"/>
            <w:noWrap w:val="0"/>
            <w:vAlign w:val="center"/>
          </w:tcPr>
          <w:p>
            <w:pPr>
              <w:spacing w:line="360" w:lineRule="exact"/>
              <w:jc w:val="center"/>
              <w:rPr>
                <w:rFonts w:hint="eastAsia" w:ascii="宋体" w:hAnsi="宋体" w:eastAsia="宋体" w:cs="宋体"/>
                <w:sz w:val="22"/>
              </w:rPr>
            </w:pPr>
            <w:r>
              <w:rPr>
                <w:rFonts w:hint="eastAsia" w:ascii="宋体" w:hAnsi="宋体" w:eastAsia="宋体" w:cs="宋体"/>
                <w:sz w:val="22"/>
              </w:rPr>
              <w:t>考核部门意见</w:t>
            </w:r>
          </w:p>
        </w:tc>
        <w:tc>
          <w:tcPr>
            <w:tcW w:w="8203" w:type="dxa"/>
            <w:gridSpan w:val="5"/>
            <w:noWrap w:val="0"/>
            <w:vAlign w:val="center"/>
          </w:tcPr>
          <w:p>
            <w:pPr>
              <w:spacing w:line="360" w:lineRule="exact"/>
              <w:rPr>
                <w:rFonts w:hint="eastAsia" w:ascii="宋体" w:hAnsi="宋体" w:eastAsia="宋体" w:cs="宋体"/>
                <w:sz w:val="22"/>
              </w:rPr>
            </w:pPr>
            <w:r>
              <w:rPr>
                <w:rFonts w:hint="eastAsia" w:ascii="宋体" w:hAnsi="宋体" w:eastAsia="宋体" w:cs="宋体"/>
                <w:sz w:val="22"/>
              </w:rPr>
              <w:t xml:space="preserve">   </w:t>
            </w:r>
          </w:p>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p>
          <w:p>
            <w:pPr>
              <w:spacing w:line="360" w:lineRule="exact"/>
              <w:rPr>
                <w:rFonts w:hint="eastAsia" w:ascii="宋体" w:hAnsi="宋体" w:eastAsia="宋体" w:cs="宋体"/>
                <w:sz w:val="22"/>
              </w:rPr>
            </w:pPr>
            <w:r>
              <w:rPr>
                <w:rFonts w:hint="eastAsia" w:ascii="宋体" w:hAnsi="宋体" w:eastAsia="宋体" w:cs="宋体"/>
                <w:sz w:val="22"/>
              </w:rPr>
              <w:t>考核部门签字：                   年  月  日</w:t>
            </w:r>
          </w:p>
        </w:tc>
      </w:tr>
    </w:tbl>
    <w:p>
      <w:pPr>
        <w:spacing w:line="360" w:lineRule="exact"/>
        <w:rPr>
          <w:rFonts w:hint="eastAsia" w:ascii="宋体" w:hAnsi="宋体" w:eastAsia="宋体" w:cs="宋体"/>
          <w:sz w:val="22"/>
        </w:rPr>
      </w:pPr>
    </w:p>
    <w:p>
      <w:pPr>
        <w:spacing w:line="360" w:lineRule="exact"/>
        <w:ind w:firstLine="440" w:firstLineChars="200"/>
        <w:rPr>
          <w:rFonts w:hint="eastAsia" w:ascii="宋体" w:hAnsi="宋体" w:eastAsia="宋体" w:cs="宋体"/>
          <w:b/>
          <w:bCs/>
          <w:spacing w:val="-6"/>
          <w:sz w:val="22"/>
        </w:rPr>
      </w:pPr>
      <w:r>
        <w:rPr>
          <w:rFonts w:hint="eastAsia" w:ascii="宋体" w:hAnsi="宋体" w:eastAsia="宋体" w:cs="宋体"/>
          <w:sz w:val="22"/>
        </w:rPr>
        <w:t>填报人：                                      联系电话：</w:t>
      </w:r>
    </w:p>
    <w:p>
      <w:pPr>
        <w:pStyle w:val="4"/>
        <w:keepNext w:val="0"/>
        <w:keepLines w:val="0"/>
        <w:pageBreakBefore w:val="0"/>
        <w:kinsoku/>
        <w:wordWrap/>
        <w:overflowPunct/>
        <w:topLinePunct w:val="0"/>
        <w:bidi w:val="0"/>
        <w:spacing w:after="0" w:line="360" w:lineRule="exact"/>
        <w:ind w:left="0" w:leftChars="0" w:firstLine="418" w:firstLineChars="200"/>
        <w:jc w:val="both"/>
        <w:rPr>
          <w:rFonts w:hint="eastAsia" w:ascii="宋体" w:hAnsi="宋体" w:eastAsia="宋体" w:cs="宋体"/>
          <w:b/>
          <w:bCs/>
          <w:spacing w:val="-6"/>
          <w:sz w:val="22"/>
        </w:rPr>
      </w:pPr>
      <w:r>
        <w:rPr>
          <w:rFonts w:hint="eastAsia" w:ascii="宋体" w:hAnsi="宋体" w:eastAsia="宋体" w:cs="宋体"/>
          <w:b/>
          <w:bCs/>
          <w:spacing w:val="-6"/>
          <w:sz w:val="22"/>
        </w:rPr>
        <w:t>四、其他</w:t>
      </w:r>
    </w:p>
    <w:p>
      <w:pPr>
        <w:keepNext w:val="0"/>
        <w:keepLines w:val="0"/>
        <w:pageBreakBefore w:val="0"/>
        <w:kinsoku/>
        <w:wordWrap/>
        <w:overflowPunct/>
        <w:topLinePunct w:val="0"/>
        <w:bidi w:val="0"/>
        <w:snapToGrid w:val="0"/>
        <w:spacing w:line="360" w:lineRule="exact"/>
        <w:ind w:firstLine="418" w:firstLineChars="200"/>
        <w:rPr>
          <w:rFonts w:hint="eastAsia" w:ascii="宋体" w:hAnsi="宋体" w:eastAsia="宋体" w:cs="宋体"/>
          <w:b/>
          <w:bCs/>
          <w:spacing w:val="-6"/>
          <w:sz w:val="22"/>
        </w:rPr>
      </w:pPr>
      <w:r>
        <w:rPr>
          <w:rFonts w:hint="eastAsia" w:ascii="宋体" w:hAnsi="宋体" w:eastAsia="宋体" w:cs="宋体"/>
          <w:b/>
          <w:bCs/>
          <w:spacing w:val="-6"/>
          <w:sz w:val="22"/>
        </w:rPr>
        <w:t>1.除招标文件中所明确的采购需求外，欢迎其他能满足本项目采购需求且性能相当于或高于所明确采购需求的产品参加投标报价。同时在采购需求偏离表中作出详细对比说明。</w:t>
      </w:r>
    </w:p>
    <w:p>
      <w:pPr>
        <w:keepNext w:val="0"/>
        <w:keepLines w:val="0"/>
        <w:pageBreakBefore w:val="0"/>
        <w:kinsoku/>
        <w:wordWrap/>
        <w:overflowPunct/>
        <w:topLinePunct w:val="0"/>
        <w:bidi w:val="0"/>
        <w:snapToGrid w:val="0"/>
        <w:spacing w:line="360" w:lineRule="exact"/>
        <w:ind w:firstLine="418" w:firstLineChars="200"/>
        <w:rPr>
          <w:rFonts w:hint="eastAsia" w:ascii="宋体" w:hAnsi="宋体" w:eastAsia="宋体" w:cs="宋体"/>
          <w:b/>
          <w:bCs/>
          <w:spacing w:val="-6"/>
          <w:sz w:val="22"/>
        </w:rPr>
      </w:pPr>
      <w:r>
        <w:rPr>
          <w:rFonts w:hint="eastAsia" w:ascii="宋体" w:hAnsi="宋体" w:eastAsia="宋体" w:cs="宋体"/>
          <w:b/>
          <w:bCs/>
          <w:spacing w:val="-6"/>
          <w:sz w:val="22"/>
        </w:rPr>
        <w:t>2.带“▲且加下划线”的有关条款为实质性条款，供应商必须做出实质性响应，不允许负偏离，出现负偏离的将导致投标无效。打★的条款为重要指标，允许负偏离，但在技术评分时会重点扣分，具体见评审因素。</w:t>
      </w:r>
    </w:p>
    <w:p>
      <w:pPr>
        <w:keepNext w:val="0"/>
        <w:keepLines w:val="0"/>
        <w:pageBreakBefore w:val="0"/>
        <w:kinsoku/>
        <w:wordWrap/>
        <w:overflowPunct/>
        <w:topLinePunct w:val="0"/>
        <w:bidi w:val="0"/>
        <w:snapToGrid w:val="0"/>
        <w:spacing w:line="360" w:lineRule="exact"/>
        <w:ind w:firstLine="418" w:firstLineChars="200"/>
        <w:rPr>
          <w:rFonts w:hint="eastAsia" w:ascii="宋体" w:hAnsi="宋体" w:eastAsia="宋体" w:cs="宋体"/>
          <w:b/>
          <w:bCs/>
          <w:spacing w:val="-6"/>
          <w:sz w:val="22"/>
        </w:rPr>
      </w:pPr>
      <w:r>
        <w:rPr>
          <w:rFonts w:hint="eastAsia" w:ascii="宋体" w:hAnsi="宋体" w:eastAsia="宋体" w:cs="宋体"/>
          <w:b/>
          <w:bCs/>
          <w:spacing w:val="-6"/>
          <w:sz w:val="22"/>
        </w:rPr>
        <w:t>3.如采购需求中未特别注明需执行的国家相关标准、行业标准、地方标准或者其他标准、规范，则统一执行最新标准、规范。</w:t>
      </w:r>
    </w:p>
    <w:p>
      <w:pPr>
        <w:widowControl/>
        <w:spacing w:line="340" w:lineRule="exact"/>
        <w:textAlignment w:val="center"/>
        <w:rPr>
          <w:rFonts w:hint="eastAsia" w:ascii="宋体" w:hAnsi="宋体" w:cs="宋体"/>
          <w:color w:val="auto"/>
          <w:kern w:val="0"/>
          <w:sz w:val="22"/>
          <w:szCs w:val="22"/>
          <w:highlight w:val="none"/>
          <w:lang w:bidi="ar"/>
        </w:rPr>
      </w:pPr>
    </w:p>
    <w:bookmarkEnd w:id="0"/>
    <w:p>
      <w:pPr>
        <w:snapToGrid w:val="0"/>
        <w:spacing w:line="360" w:lineRule="exact"/>
        <w:ind w:firstLine="420" w:firstLineChars="200"/>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jc w:val="left"/>
      <w:rPr>
        <w:rFonts w:hint="eastAsia" w:eastAsia="宋体"/>
        <w:lang w:val="en-US" w:eastAsia="zh-CN"/>
      </w:rPr>
    </w:pPr>
    <w:r>
      <w:rPr>
        <w:rFonts w:hint="eastAsia"/>
        <w:szCs w:val="22"/>
      </w:rPr>
      <w:t>浙江乐诚工程咨询有限公司磋商文件</w:t>
    </w:r>
    <w:r>
      <w:rPr>
        <w:rFonts w:hint="eastAsia"/>
        <w:szCs w:val="22"/>
        <w:lang w:val="en-US" w:eastAsia="zh-CN"/>
      </w:rPr>
      <w:t xml:space="preserve">                                                   </w:t>
    </w:r>
    <w:r>
      <w:rPr>
        <w:rFonts w:hint="eastAsia" w:ascii="Arial" w:hAnsi="宋体" w:cs="Arial"/>
        <w:b/>
        <w:szCs w:val="21"/>
        <w:lang w:val="en-US" w:eastAsia="zh-CN"/>
      </w:rPr>
      <w:t xml:space="preserve"> </w:t>
    </w:r>
    <w:r>
      <w:rPr>
        <w:rFonts w:hint="eastAsia" w:ascii="Arial" w:hAnsi="宋体" w:cs="Arial"/>
        <w:b/>
        <w:szCs w:val="21"/>
      </w:rPr>
      <w:drawing>
        <wp:inline distT="0" distB="0" distL="114300" distR="114300">
          <wp:extent cx="381000" cy="3429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3810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DC8BE"/>
    <w:multiLevelType w:val="singleLevel"/>
    <w:tmpl w:val="8C0DC8B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35F7B"/>
    <w:rsid w:val="21221E94"/>
    <w:rsid w:val="526D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adjustRightInd w:val="0"/>
      <w:spacing w:line="360" w:lineRule="auto"/>
      <w:ind w:firstLine="490"/>
      <w:jc w:val="left"/>
    </w:pPr>
    <w:rPr>
      <w:rFonts w:ascii="宋体" w:hAnsi="宋体"/>
      <w:sz w:val="24"/>
    </w:rPr>
  </w:style>
  <w:style w:type="paragraph" w:styleId="4">
    <w:name w:val="Body Text First Indent 2"/>
    <w:basedOn w:val="3"/>
    <w:next w:val="1"/>
    <w:qFormat/>
    <w:uiPriority w:val="99"/>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5">
    <w:name w:val="Block Text"/>
    <w:basedOn w:val="1"/>
    <w:qFormat/>
    <w:uiPriority w:val="0"/>
    <w:pPr>
      <w:adjustRightInd w:val="0"/>
      <w:spacing w:line="300" w:lineRule="auto"/>
      <w:ind w:left="958" w:rightChars="-120"/>
      <w:jc w:val="left"/>
    </w:pPr>
    <w:rPr>
      <w:rFonts w:ascii="宋体" w:hAnsi="宋体"/>
      <w:sz w:val="2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6"/>
    <w:basedOn w:val="1"/>
    <w:next w:val="1"/>
    <w:qFormat/>
    <w:uiPriority w:val="0"/>
    <w:pPr>
      <w:ind w:left="1400"/>
    </w:pPr>
    <w:rPr>
      <w:sz w:val="18"/>
      <w:szCs w:val="18"/>
    </w:rPr>
  </w:style>
  <w:style w:type="paragraph" w:styleId="9">
    <w:name w:val="Body Text First Indent"/>
    <w:basedOn w:val="2"/>
    <w:next w:val="8"/>
    <w:qFormat/>
    <w:uiPriority w:val="0"/>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2025-11-05T11:20:00Z</dcterms:created>
  <dc:creator>DELL</dc:creator>
  <cp:lastModifiedBy>浙江乐诚</cp:lastModifiedBy>
  <dcterms:modified xsi:type="dcterms:W3CDTF">2025-12-19T08:04:09Z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eyJoZGlkIjoiOGVlZjc4NmM4MzAyYWZmMTcwNTJhMjE0M2FkNWRmNWEiLCJ1c2VySWQiOiIxOTk1MTEzOTEifQ==</vt:lpwstr>
  </property>
  <property fmtid="{D5CDD505-2E9C-101B-9397-08002B2CF9AE}" pid="4" name="ICV">
    <vt:lpwstr>F6A6ADDD478F4774A09CEB7CDDD96698_12</vt:lpwstr>
  </property>
</Properties>
</file>