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75374">
      <w:pPr>
        <w:autoSpaceDE w:val="0"/>
        <w:autoSpaceDN w:val="0"/>
        <w:adjustRightInd w:val="0"/>
        <w:snapToGrid w:val="0"/>
        <w:spacing w:line="400" w:lineRule="atLeast"/>
        <w:jc w:val="center"/>
        <w:rPr>
          <w:rFonts w:hint="eastAsia" w:ascii="宋体" w:eastAsia="宋体" w:cs="仿宋_GB2312"/>
          <w:bCs w:val="0"/>
          <w:color w:val="auto"/>
          <w:sz w:val="36"/>
          <w:szCs w:val="36"/>
          <w:lang w:val="en-US" w:eastAsia="zh-CN"/>
        </w:rPr>
      </w:pPr>
      <w:r>
        <w:rPr>
          <w:rFonts w:hint="eastAsia" w:ascii="宋体" w:eastAsia="宋体" w:cs="仿宋_GB2312"/>
          <w:bCs w:val="0"/>
          <w:color w:val="auto"/>
          <w:sz w:val="36"/>
          <w:szCs w:val="36"/>
          <w:lang w:val="zh-CN"/>
        </w:rPr>
        <w:t>采购</w:t>
      </w:r>
      <w:r>
        <w:rPr>
          <w:rFonts w:hint="eastAsia" w:ascii="宋体" w:eastAsia="宋体" w:cs="仿宋_GB2312"/>
          <w:bCs w:val="0"/>
          <w:color w:val="auto"/>
          <w:sz w:val="36"/>
          <w:szCs w:val="36"/>
          <w:lang w:val="en-US" w:eastAsia="zh-CN"/>
        </w:rPr>
        <w:t>需求</w:t>
      </w:r>
      <w:bookmarkStart w:id="3" w:name="_GoBack"/>
      <w:bookmarkEnd w:id="3"/>
    </w:p>
    <w:p w14:paraId="0F018D0B">
      <w:pPr>
        <w:autoSpaceDE w:val="0"/>
        <w:autoSpaceDN w:val="0"/>
        <w:adjustRightInd w:val="0"/>
        <w:spacing w:line="440" w:lineRule="exact"/>
        <w:textAlignment w:val="bottom"/>
        <w:rPr>
          <w:rFonts w:hint="eastAsia" w:ascii="宋体" w:eastAsia="宋体"/>
          <w:color w:val="auto"/>
          <w:sz w:val="22"/>
          <w:szCs w:val="22"/>
        </w:rPr>
      </w:pPr>
      <w:bookmarkStart w:id="0" w:name="_Toc157410883"/>
      <w:r>
        <w:rPr>
          <w:rFonts w:hint="eastAsia" w:ascii="宋体" w:eastAsia="宋体"/>
          <w:color w:val="auto"/>
          <w:sz w:val="22"/>
          <w:szCs w:val="22"/>
        </w:rPr>
        <w:t>一、采购总说明</w:t>
      </w:r>
    </w:p>
    <w:p w14:paraId="1EBFECC8">
      <w:pPr>
        <w:widowControl/>
        <w:autoSpaceDE w:val="0"/>
        <w:autoSpaceDN w:val="0"/>
        <w:adjustRightInd w:val="0"/>
        <w:spacing w:line="440" w:lineRule="exact"/>
        <w:ind w:firstLine="440" w:firstLineChars="200"/>
        <w:textAlignment w:val="bottom"/>
        <w:rPr>
          <w:rFonts w:hint="eastAsia" w:ascii="宋体" w:eastAsia="宋体"/>
          <w:b w:val="0"/>
          <w:color w:val="auto"/>
          <w:sz w:val="22"/>
        </w:rPr>
      </w:pPr>
      <w:r>
        <w:rPr>
          <w:rFonts w:hint="eastAsia" w:ascii="宋体" w:eastAsia="宋体"/>
          <w:b w:val="0"/>
          <w:color w:val="auto"/>
          <w:sz w:val="22"/>
        </w:rPr>
        <w:t>1.1</w:t>
      </w:r>
      <w:r>
        <w:rPr>
          <w:rFonts w:hint="eastAsia" w:ascii="宋体" w:eastAsia="宋体"/>
          <w:b w:val="0"/>
          <w:color w:val="auto"/>
          <w:sz w:val="22"/>
          <w:lang w:val="en-US" w:eastAsia="zh-CN"/>
        </w:rPr>
        <w:t>.</w:t>
      </w:r>
      <w:r>
        <w:rPr>
          <w:rFonts w:hint="eastAsia" w:ascii="宋体" w:eastAsia="宋体"/>
          <w:b w:val="0"/>
          <w:color w:val="auto"/>
          <w:sz w:val="22"/>
        </w:rPr>
        <w:t>本技术规范要求提出的是最低限度的基本技术要求，并未对所有技术细节作出规定，供应商应提供符合本技术要求和国家标准、行业标准的优质产品。</w:t>
      </w:r>
    </w:p>
    <w:p w14:paraId="2339E91F">
      <w:pPr>
        <w:widowControl/>
        <w:autoSpaceDE w:val="0"/>
        <w:autoSpaceDN w:val="0"/>
        <w:adjustRightInd w:val="0"/>
        <w:spacing w:line="440" w:lineRule="exact"/>
        <w:ind w:firstLine="440" w:firstLineChars="200"/>
        <w:textAlignment w:val="bottom"/>
        <w:rPr>
          <w:rFonts w:hint="eastAsia" w:ascii="宋体" w:eastAsia="宋体"/>
          <w:b w:val="0"/>
          <w:color w:val="auto"/>
          <w:sz w:val="22"/>
        </w:rPr>
      </w:pPr>
      <w:r>
        <w:rPr>
          <w:rFonts w:hint="eastAsia" w:ascii="宋体" w:eastAsia="宋体"/>
          <w:b w:val="0"/>
          <w:color w:val="auto"/>
          <w:sz w:val="22"/>
        </w:rPr>
        <w:t>1.2</w:t>
      </w:r>
      <w:r>
        <w:rPr>
          <w:rFonts w:hint="eastAsia" w:ascii="宋体" w:eastAsia="宋体"/>
          <w:b w:val="0"/>
          <w:color w:val="auto"/>
          <w:sz w:val="22"/>
          <w:lang w:val="en-US" w:eastAsia="zh-CN"/>
        </w:rPr>
        <w:t>.</w:t>
      </w:r>
      <w:r>
        <w:rPr>
          <w:rFonts w:hint="eastAsia" w:ascii="宋体" w:eastAsia="宋体"/>
          <w:b w:val="0"/>
          <w:color w:val="auto"/>
          <w:sz w:val="22"/>
        </w:rPr>
        <w:t>供应商产品与本技术要求不一致时，供应商应在磋商响应文件中予以说明，并由磋商采购小组鉴定供应商产品能否达到要求。如供应商没有在磋商响应文件中提出异议，则视为供应商提供的产品完全按照本采购文件要求。</w:t>
      </w:r>
    </w:p>
    <w:p w14:paraId="4FF2D939">
      <w:pPr>
        <w:widowControl/>
        <w:autoSpaceDE w:val="0"/>
        <w:autoSpaceDN w:val="0"/>
        <w:adjustRightInd w:val="0"/>
        <w:spacing w:line="440" w:lineRule="exact"/>
        <w:ind w:firstLine="440" w:firstLineChars="200"/>
        <w:textAlignment w:val="bottom"/>
        <w:rPr>
          <w:rFonts w:hint="eastAsia" w:ascii="宋体" w:eastAsia="宋体"/>
          <w:b w:val="0"/>
          <w:color w:val="auto"/>
          <w:sz w:val="22"/>
        </w:rPr>
      </w:pPr>
      <w:r>
        <w:rPr>
          <w:rFonts w:hint="eastAsia" w:ascii="宋体" w:eastAsia="宋体"/>
          <w:b w:val="0"/>
          <w:color w:val="auto"/>
          <w:sz w:val="22"/>
        </w:rPr>
        <w:t>2、技术要求及标准的执行</w:t>
      </w:r>
    </w:p>
    <w:p w14:paraId="087ABAE3">
      <w:pPr>
        <w:widowControl/>
        <w:autoSpaceDE w:val="0"/>
        <w:autoSpaceDN w:val="0"/>
        <w:adjustRightInd w:val="0"/>
        <w:spacing w:line="440" w:lineRule="exact"/>
        <w:ind w:firstLine="440" w:firstLineChars="200"/>
        <w:textAlignment w:val="bottom"/>
        <w:rPr>
          <w:rFonts w:hint="eastAsia" w:ascii="宋体" w:eastAsia="宋体"/>
          <w:b w:val="0"/>
          <w:color w:val="auto"/>
          <w:sz w:val="22"/>
        </w:rPr>
      </w:pPr>
      <w:r>
        <w:rPr>
          <w:rFonts w:hint="eastAsia" w:ascii="宋体" w:eastAsia="宋体"/>
          <w:b w:val="0"/>
          <w:color w:val="auto"/>
          <w:sz w:val="22"/>
        </w:rPr>
        <w:t>供应商提供的产品应标明所执行的质量标准，若同一标准已颁发新标准，则按最新标准执行。若同一产品同时有几个标准（国际标准、国家标准、行业标准、企业标准等），则按最高层次的标准执行。</w:t>
      </w:r>
    </w:p>
    <w:bookmarkEnd w:id="0"/>
    <w:p w14:paraId="2DB3AB9A">
      <w:pPr>
        <w:numPr>
          <w:ilvl w:val="0"/>
          <w:numId w:val="1"/>
        </w:numPr>
        <w:spacing w:line="440" w:lineRule="exact"/>
        <w:ind w:firstLine="440" w:firstLineChars="200"/>
        <w:rPr>
          <w:rFonts w:hint="eastAsia" w:ascii="宋体" w:eastAsia="宋体"/>
          <w:b w:val="0"/>
          <w:bCs w:val="0"/>
          <w:color w:val="auto"/>
          <w:sz w:val="22"/>
          <w:szCs w:val="22"/>
        </w:rPr>
      </w:pPr>
      <w:r>
        <w:rPr>
          <w:rFonts w:hint="eastAsia" w:ascii="宋体" w:eastAsia="宋体"/>
          <w:b w:val="0"/>
          <w:color w:val="auto"/>
          <w:sz w:val="22"/>
          <w:szCs w:val="22"/>
        </w:rPr>
        <w:t>供应商须按国家有关规定及标准完成本次采购产品的供货、运输、装卸、就位、安装、调试、技术培训、检验、通过有关部门验收、</w:t>
      </w:r>
      <w:r>
        <w:rPr>
          <w:rFonts w:hint="eastAsia" w:ascii="宋体" w:eastAsia="宋体"/>
          <w:b w:val="0"/>
          <w:color w:val="auto"/>
          <w:sz w:val="22"/>
          <w:szCs w:val="22"/>
          <w:lang w:eastAsia="zh-CN"/>
        </w:rPr>
        <w:t>运维</w:t>
      </w:r>
      <w:r>
        <w:rPr>
          <w:rFonts w:hint="eastAsia" w:ascii="宋体" w:eastAsia="宋体"/>
          <w:b w:val="0"/>
          <w:color w:val="auto"/>
          <w:sz w:val="22"/>
          <w:szCs w:val="22"/>
        </w:rPr>
        <w:t>期服务、产品终身维修等各项工作，并保证磋商产品使用的安全性能与检测结果的可靠性。</w:t>
      </w:r>
      <w:r>
        <w:rPr>
          <w:rFonts w:hint="eastAsia" w:ascii="宋体" w:eastAsia="宋体"/>
          <w:b w:val="0"/>
          <w:bCs w:val="0"/>
          <w:color w:val="auto"/>
          <w:sz w:val="22"/>
          <w:szCs w:val="22"/>
        </w:rPr>
        <w:t>如成交，成交供应商及制造商对成交产品使用的安全性能与可靠性负全部责任。成交供应商须随产品提供使用说明书与</w:t>
      </w:r>
      <w:r>
        <w:rPr>
          <w:rFonts w:hint="eastAsia" w:ascii="宋体" w:eastAsia="宋体"/>
          <w:b w:val="0"/>
          <w:bCs w:val="0"/>
          <w:color w:val="auto"/>
          <w:sz w:val="22"/>
          <w:szCs w:val="22"/>
          <w:lang w:eastAsia="zh-CN"/>
        </w:rPr>
        <w:t>运维</w:t>
      </w:r>
      <w:r>
        <w:rPr>
          <w:rFonts w:hint="eastAsia" w:ascii="宋体" w:eastAsia="宋体"/>
          <w:b w:val="0"/>
          <w:bCs w:val="0"/>
          <w:color w:val="auto"/>
          <w:sz w:val="22"/>
          <w:szCs w:val="22"/>
        </w:rPr>
        <w:t>卡。</w:t>
      </w:r>
      <w:r>
        <w:rPr>
          <w:rFonts w:hint="eastAsia" w:ascii="宋体" w:eastAsia="宋体"/>
          <w:b w:val="0"/>
          <w:color w:val="auto"/>
          <w:sz w:val="22"/>
          <w:szCs w:val="22"/>
        </w:rPr>
        <w:t>供应商提供相关数据与说明，</w:t>
      </w:r>
      <w:r>
        <w:rPr>
          <w:rFonts w:hint="eastAsia" w:ascii="宋体" w:eastAsia="宋体"/>
          <w:b w:val="0"/>
          <w:bCs w:val="0"/>
          <w:color w:val="auto"/>
          <w:sz w:val="22"/>
          <w:szCs w:val="22"/>
        </w:rPr>
        <w:t>磋商响应文件须对下列要求作出实质性回应。</w:t>
      </w:r>
    </w:p>
    <w:p w14:paraId="6C08BF25">
      <w:pPr>
        <w:numPr>
          <w:ilvl w:val="0"/>
          <w:numId w:val="2"/>
        </w:numPr>
        <w:autoSpaceDE w:val="0"/>
        <w:autoSpaceDN w:val="0"/>
        <w:adjustRightInd w:val="0"/>
        <w:spacing w:line="440" w:lineRule="exact"/>
        <w:textAlignment w:val="bottom"/>
        <w:rPr>
          <w:rFonts w:hint="eastAsia" w:ascii="宋体" w:eastAsia="宋体"/>
          <w:b w:val="0"/>
          <w:bCs w:val="0"/>
          <w:color w:val="auto"/>
          <w:sz w:val="22"/>
          <w:szCs w:val="22"/>
        </w:rPr>
      </w:pPr>
      <w:r>
        <w:rPr>
          <w:rFonts w:hint="eastAsia" w:ascii="宋体" w:eastAsia="宋体"/>
          <w:color w:val="auto"/>
          <w:sz w:val="22"/>
          <w:szCs w:val="22"/>
        </w:rPr>
        <w:t>采购内容要求：</w:t>
      </w:r>
    </w:p>
    <w:p w14:paraId="7B39D38A">
      <w:pPr>
        <w:widowControl/>
        <w:autoSpaceDE w:val="0"/>
        <w:autoSpaceDN w:val="0"/>
        <w:adjustRightInd w:val="0"/>
        <w:snapToGrid w:val="0"/>
        <w:spacing w:line="460" w:lineRule="atLeast"/>
        <w:ind w:firstLine="442" w:firstLineChars="200"/>
        <w:textAlignment w:val="bottom"/>
        <w:rPr>
          <w:rFonts w:hint="eastAsia" w:ascii="宋体" w:eastAsia="宋体"/>
          <w:bCs w:val="0"/>
          <w:color w:val="auto"/>
          <w:sz w:val="22"/>
          <w:szCs w:val="22"/>
          <w:lang w:eastAsia="zh-CN"/>
        </w:rPr>
      </w:pPr>
      <w:r>
        <w:rPr>
          <w:rFonts w:hint="eastAsia" w:ascii="宋体" w:eastAsia="宋体"/>
          <w:bCs w:val="0"/>
          <w:color w:val="auto"/>
          <w:sz w:val="22"/>
          <w:szCs w:val="22"/>
          <w:lang w:val="zh-CN"/>
        </w:rPr>
        <w:t>温州理工学院网络设备运维服务</w:t>
      </w:r>
      <w:r>
        <w:rPr>
          <w:rFonts w:hint="eastAsia" w:ascii="宋体" w:eastAsia="宋体"/>
          <w:bCs w:val="0"/>
          <w:color w:val="auto"/>
          <w:sz w:val="22"/>
          <w:szCs w:val="22"/>
        </w:rPr>
        <w:t>项目技术要求</w:t>
      </w:r>
      <w:r>
        <w:rPr>
          <w:rFonts w:hint="eastAsia" w:ascii="宋体" w:eastAsia="宋体"/>
          <w:bCs w:val="0"/>
          <w:color w:val="auto"/>
          <w:sz w:val="22"/>
          <w:szCs w:val="22"/>
          <w:lang w:eastAsia="zh-CN"/>
        </w:rPr>
        <w:t>：</w:t>
      </w:r>
    </w:p>
    <w:p w14:paraId="4823CED6">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w:t>
      </w:r>
      <w:r>
        <w:rPr>
          <w:rFonts w:hint="eastAsia" w:ascii="宋体" w:hAnsi="宋体" w:eastAsia="宋体" w:cs="宋体"/>
          <w:b/>
          <w:bCs w:val="0"/>
          <w:color w:val="auto"/>
          <w:sz w:val="22"/>
          <w:szCs w:val="22"/>
          <w:lang w:val="en-US" w:eastAsia="zh-CN"/>
        </w:rPr>
        <w:t>一</w:t>
      </w:r>
      <w:r>
        <w:rPr>
          <w:rFonts w:hint="eastAsia" w:ascii="宋体" w:hAnsi="宋体" w:eastAsia="宋体" w:cs="宋体"/>
          <w:b/>
          <w:bCs w:val="0"/>
          <w:color w:val="auto"/>
          <w:sz w:val="22"/>
          <w:szCs w:val="22"/>
        </w:rPr>
        <w:t>）项目背景</w:t>
      </w:r>
    </w:p>
    <w:p w14:paraId="7A1CF78D">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1、温州理工学院于2021年成立，目前设有茶山、滨海两个校区。随着2026年乐清新校区的投入使用，学校整体信息化规模将进一步扩大。网络运行的稳定性直接关系到各校区教学、科研及行政工作的正常开展。全校范围内存在信息化设备种类繁多、软件数量庞大的情况，且在网络管理方面，各校区普遍采用被动管理模式，难以快速定位故障点，导致重复维修现象频发。此外，各校区网络覆盖区域广泛，终端设备众多，网络故障不仅影响师生日常上网体验，还可能导致教学资源传输中断、线上教学受阻等问题。</w:t>
      </w:r>
    </w:p>
    <w:p w14:paraId="7190E985">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2、在当前有限的人力物力资源条件下，为全面保障和提高全校（含乐清校区）信息化运维服务质量，学校决定将数据中心及各校区信息化软硬件的运行维护工作进行外包。具体需求如下：一是提供1名专业网络维护工程师，按需提供全方位网络维护服务；二是派驻3名工程师（滨海校区2名，乐清校区1名），专项负责校园网络的整体规划、故障排查及优化，重点保障网络设备的日常巡检、配置调整与故障快速修复，确保教室、实验室、办公楼等区域网络畅通，负责数据中心服务器运维和全校信息化硬件设备（如教学终端、办公设备等）的检修及软件系统的维护工作。通过上述外包服务，旨在解决学校当前信息化服务方面的日益增长需求，提升信息化软硬件的运行维护效率，确保各业务系统的稳定运行。</w:t>
      </w:r>
    </w:p>
    <w:p w14:paraId="33486695">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rPr>
        <w:t>（二）采购内容</w:t>
      </w:r>
    </w:p>
    <w:p w14:paraId="0BFA4383">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rPr>
        <w:t>1</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rPr>
        <w:t>服务对象：</w:t>
      </w:r>
      <w:r>
        <w:rPr>
          <w:rFonts w:hint="eastAsia" w:ascii="宋体" w:hAnsi="宋体" w:eastAsia="宋体" w:cs="宋体"/>
          <w:b w:val="0"/>
          <w:bCs/>
          <w:color w:val="auto"/>
          <w:sz w:val="22"/>
          <w:szCs w:val="22"/>
          <w:lang w:val="en-US" w:eastAsia="zh-CN"/>
        </w:rPr>
        <w:t>温州理工学院数据中心</w:t>
      </w:r>
      <w:r>
        <w:rPr>
          <w:rFonts w:hint="eastAsia" w:ascii="宋体" w:hAnsi="宋体" w:eastAsia="宋体" w:cs="宋体"/>
          <w:b w:val="0"/>
          <w:bCs/>
          <w:color w:val="auto"/>
          <w:sz w:val="22"/>
          <w:szCs w:val="22"/>
        </w:rPr>
        <w:t>信息网络系统、</w:t>
      </w:r>
      <w:r>
        <w:rPr>
          <w:rFonts w:hint="eastAsia" w:ascii="宋体" w:hAnsi="宋体" w:eastAsia="宋体" w:cs="宋体"/>
          <w:b w:val="0"/>
          <w:bCs/>
          <w:color w:val="auto"/>
          <w:sz w:val="22"/>
          <w:szCs w:val="22"/>
          <w:lang w:val="en-US" w:eastAsia="zh-CN"/>
        </w:rPr>
        <w:t>客户端</w:t>
      </w:r>
      <w:r>
        <w:rPr>
          <w:rFonts w:hint="eastAsia" w:ascii="宋体" w:hAnsi="宋体" w:eastAsia="宋体" w:cs="宋体"/>
          <w:b w:val="0"/>
          <w:bCs/>
          <w:color w:val="auto"/>
          <w:sz w:val="22"/>
          <w:szCs w:val="22"/>
        </w:rPr>
        <w:t>、</w:t>
      </w:r>
      <w:r>
        <w:rPr>
          <w:rFonts w:hint="eastAsia" w:ascii="宋体" w:hAnsi="宋体" w:eastAsia="宋体" w:cs="宋体"/>
          <w:b w:val="0"/>
          <w:bCs/>
          <w:color w:val="auto"/>
          <w:sz w:val="22"/>
          <w:szCs w:val="22"/>
          <w:lang w:val="en-US" w:eastAsia="zh-CN"/>
        </w:rPr>
        <w:t>校园</w:t>
      </w:r>
      <w:r>
        <w:rPr>
          <w:rFonts w:hint="eastAsia" w:ascii="宋体" w:hAnsi="宋体" w:eastAsia="宋体" w:cs="宋体"/>
          <w:b w:val="0"/>
          <w:bCs/>
          <w:color w:val="auto"/>
          <w:sz w:val="22"/>
          <w:szCs w:val="22"/>
        </w:rPr>
        <w:t>智能化以及各信息系统的一线技术运维</w:t>
      </w:r>
      <w:r>
        <w:rPr>
          <w:rFonts w:hint="eastAsia" w:ascii="宋体" w:hAnsi="宋体" w:eastAsia="宋体" w:cs="宋体"/>
          <w:b w:val="0"/>
          <w:bCs/>
          <w:color w:val="auto"/>
          <w:sz w:val="22"/>
          <w:szCs w:val="22"/>
          <w:lang w:eastAsia="zh-CN"/>
        </w:rPr>
        <w:t>。</w:t>
      </w:r>
    </w:p>
    <w:p w14:paraId="2ED91FA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2、服务具体内容主要包括：</w:t>
      </w:r>
    </w:p>
    <w:p w14:paraId="77E2E17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2.1</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lang w:eastAsia="zh-CN"/>
        </w:rPr>
        <w:t>信息网络系统的协助维护：主要包括内、外网的网络、安全、服务器、存储等设备的日常监控、维护和故障处理（如文件备份、恢复、系统漏洞检测、升级、病毒检测、清除、业务系统维护、IP地址管理等），需对上述设备建立集中日志处理记录。</w:t>
      </w:r>
    </w:p>
    <w:p w14:paraId="616EF918">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2.</w:t>
      </w: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lang w:eastAsia="zh-CN"/>
        </w:rPr>
        <w:t>客户端维护：包括</w:t>
      </w:r>
      <w:r>
        <w:rPr>
          <w:rFonts w:hint="eastAsia" w:ascii="宋体" w:hAnsi="宋体" w:eastAsia="宋体" w:cs="宋体"/>
          <w:b w:val="0"/>
          <w:bCs/>
          <w:color w:val="auto"/>
          <w:sz w:val="22"/>
          <w:szCs w:val="22"/>
          <w:lang w:val="en-US" w:eastAsia="zh-CN"/>
        </w:rPr>
        <w:t>学院行政PC终端的系统安装、系统还原、系统更新，常用软件、办公软件、业务软件的安装，以及常用电脑技术的指导和常见外设故障维护等。</w:t>
      </w:r>
    </w:p>
    <w:p w14:paraId="57F6B2FD">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2.</w:t>
      </w: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lang w:eastAsia="zh-CN"/>
        </w:rPr>
        <w:t>机房的协助运维服务：主要包括机房UPS、空调、消防、监控等系统的日常巡检，人员、设备进出机房的登记，乙方需对上述设备建立集中日志处理记录。</w:t>
      </w:r>
    </w:p>
    <w:p w14:paraId="77B3ACD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2.</w:t>
      </w:r>
      <w:r>
        <w:rPr>
          <w:rFonts w:hint="eastAsia" w:ascii="宋体" w:hAnsi="宋体" w:eastAsia="宋体" w:cs="宋体"/>
          <w:b w:val="0"/>
          <w:bCs/>
          <w:color w:val="auto"/>
          <w:sz w:val="22"/>
          <w:szCs w:val="22"/>
          <w:lang w:val="en-US" w:eastAsia="zh-CN"/>
        </w:rPr>
        <w:t>4.</w:t>
      </w:r>
      <w:r>
        <w:rPr>
          <w:rFonts w:hint="eastAsia" w:ascii="宋体" w:hAnsi="宋体" w:eastAsia="宋体" w:cs="宋体"/>
          <w:b w:val="0"/>
          <w:bCs/>
          <w:color w:val="auto"/>
          <w:sz w:val="22"/>
          <w:szCs w:val="22"/>
          <w:lang w:eastAsia="zh-CN"/>
        </w:rPr>
        <w:t>智能化</w:t>
      </w:r>
      <w:r>
        <w:rPr>
          <w:rFonts w:hint="eastAsia" w:ascii="宋体" w:hAnsi="宋体" w:eastAsia="宋体" w:cs="宋体"/>
          <w:b w:val="0"/>
          <w:bCs/>
          <w:color w:val="auto"/>
          <w:sz w:val="22"/>
          <w:szCs w:val="22"/>
          <w:lang w:val="en-US" w:eastAsia="zh-CN"/>
        </w:rPr>
        <w:t>协助维护：主要包括校园各监控、一卡通、门禁等系统的协助维护。</w:t>
      </w:r>
    </w:p>
    <w:p w14:paraId="3355DD8D">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lang w:eastAsia="zh-CN"/>
        </w:rPr>
        <w:t>局域网网络管理：主要工作包括：</w:t>
      </w:r>
    </w:p>
    <w:p w14:paraId="2661EF27">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lang w:eastAsia="zh-CN"/>
        </w:rPr>
        <w:t>.1</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rPr>
        <w:t>协助网络管理人员开展IP地址的分配和管理工作；分析</w:t>
      </w:r>
      <w:r>
        <w:rPr>
          <w:rFonts w:hint="eastAsia" w:ascii="宋体" w:hAnsi="宋体" w:eastAsia="宋体" w:cs="宋体"/>
          <w:b w:val="0"/>
          <w:bCs/>
          <w:color w:val="auto"/>
          <w:sz w:val="22"/>
          <w:szCs w:val="22"/>
          <w:lang w:eastAsia="zh-CN"/>
        </w:rPr>
        <w:t>并解</w:t>
      </w:r>
      <w:r>
        <w:rPr>
          <w:rFonts w:hint="eastAsia" w:ascii="宋体" w:hAnsi="宋体" w:eastAsia="宋体" w:cs="宋体"/>
          <w:b w:val="0"/>
          <w:bCs/>
          <w:color w:val="auto"/>
          <w:sz w:val="22"/>
          <w:szCs w:val="22"/>
        </w:rPr>
        <w:t>决网络故障；对于重大、紧急网络问题，应立即向运维负责人汇报；对于</w:t>
      </w:r>
      <w:r>
        <w:rPr>
          <w:rFonts w:hint="eastAsia" w:ascii="宋体" w:hAnsi="宋体" w:eastAsia="宋体" w:cs="宋体"/>
          <w:b w:val="0"/>
          <w:bCs/>
          <w:color w:val="auto"/>
          <w:sz w:val="22"/>
          <w:szCs w:val="22"/>
          <w:lang w:eastAsia="zh-CN"/>
        </w:rPr>
        <w:t>由</w:t>
      </w:r>
      <w:r>
        <w:rPr>
          <w:rFonts w:hint="eastAsia" w:ascii="宋体" w:hAnsi="宋体" w:eastAsia="宋体" w:cs="宋体"/>
          <w:b w:val="0"/>
          <w:bCs/>
          <w:color w:val="auto"/>
          <w:sz w:val="22"/>
          <w:szCs w:val="22"/>
        </w:rPr>
        <w:t>外部（</w:t>
      </w:r>
      <w:r>
        <w:rPr>
          <w:rFonts w:hint="eastAsia" w:ascii="宋体" w:hAnsi="宋体" w:eastAsia="宋体" w:cs="宋体"/>
          <w:b w:val="0"/>
          <w:bCs/>
          <w:color w:val="auto"/>
          <w:sz w:val="22"/>
          <w:szCs w:val="22"/>
          <w:lang w:eastAsia="zh-CN"/>
        </w:rPr>
        <w:t>如</w:t>
      </w:r>
      <w:r>
        <w:rPr>
          <w:rFonts w:hint="eastAsia" w:ascii="宋体" w:hAnsi="宋体" w:eastAsia="宋体" w:cs="宋体"/>
          <w:b w:val="0"/>
          <w:bCs/>
          <w:color w:val="auto"/>
          <w:sz w:val="22"/>
          <w:szCs w:val="22"/>
        </w:rPr>
        <w:t>电信</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lang w:val="en-US" w:eastAsia="zh-CN"/>
        </w:rPr>
        <w:t>移动</w:t>
      </w:r>
      <w:r>
        <w:rPr>
          <w:rFonts w:hint="eastAsia" w:ascii="宋体" w:hAnsi="宋体" w:eastAsia="宋体" w:cs="宋体"/>
          <w:b w:val="0"/>
          <w:bCs/>
          <w:color w:val="auto"/>
          <w:sz w:val="22"/>
          <w:szCs w:val="22"/>
        </w:rPr>
        <w:t>运营商）原因造成的网络故障，应立即向运维负责人汇报，并及时通知有关部门予以解决。</w:t>
      </w:r>
    </w:p>
    <w:p w14:paraId="5546042A">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lang w:eastAsia="zh-CN"/>
        </w:rPr>
        <w:t>定期进行网络检查。检查内容应包括：网络设备状况、网络设备日志错误报告、网络设备配置备份、IOS版本、补丁级别等。</w:t>
      </w:r>
    </w:p>
    <w:p w14:paraId="452938A6">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lang w:eastAsia="zh-CN"/>
        </w:rPr>
        <w:t>定期编写网络维护报告，主要包括网络带宽性能报告、网络设备预防性维护报告、网络资源调配报告。</w:t>
      </w:r>
    </w:p>
    <w:p w14:paraId="3E2C067E">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 xml:space="preserve"> </w:t>
      </w:r>
      <w:r>
        <w:rPr>
          <w:rFonts w:hint="eastAsia" w:ascii="宋体" w:hAnsi="宋体" w:eastAsia="宋体" w:cs="宋体"/>
          <w:b w:val="0"/>
          <w:bCs/>
          <w:color w:val="auto"/>
          <w:sz w:val="22"/>
          <w:szCs w:val="22"/>
          <w:lang w:val="en-US" w:eastAsia="zh-CN"/>
        </w:rPr>
        <w:t>4、各学院软件系统的管理、维护和响应。</w:t>
      </w:r>
    </w:p>
    <w:p w14:paraId="75D5F826">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 xml:space="preserve"> </w:t>
      </w:r>
      <w:r>
        <w:rPr>
          <w:rFonts w:hint="eastAsia" w:ascii="宋体" w:hAnsi="宋体" w:eastAsia="宋体" w:cs="宋体"/>
          <w:b w:val="0"/>
          <w:bCs/>
          <w:color w:val="auto"/>
          <w:sz w:val="22"/>
          <w:szCs w:val="22"/>
          <w:lang w:val="en-US" w:eastAsia="zh-CN"/>
        </w:rPr>
        <w:t>5、对所有监控、维护工作记录台账，较重大的维修工作应单独出具维修报告，并由双方签字确认。</w:t>
      </w:r>
    </w:p>
    <w:p w14:paraId="40CE1E81">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（三）</w:t>
      </w:r>
      <w:r>
        <w:rPr>
          <w:rFonts w:hint="eastAsia" w:ascii="宋体" w:hAnsi="宋体" w:eastAsia="宋体" w:cs="宋体"/>
          <w:b/>
          <w:bCs w:val="0"/>
          <w:color w:val="auto"/>
          <w:sz w:val="22"/>
          <w:szCs w:val="22"/>
        </w:rPr>
        <w:t>运维</w:t>
      </w:r>
      <w:r>
        <w:rPr>
          <w:rFonts w:hint="eastAsia" w:ascii="宋体" w:hAnsi="宋体" w:eastAsia="宋体" w:cs="宋体"/>
          <w:b/>
          <w:bCs w:val="0"/>
          <w:color w:val="auto"/>
          <w:sz w:val="22"/>
          <w:szCs w:val="22"/>
          <w:lang w:val="en-US" w:eastAsia="zh-CN"/>
        </w:rPr>
        <w:t>服务人员要求及</w:t>
      </w:r>
      <w:r>
        <w:rPr>
          <w:rFonts w:hint="eastAsia" w:ascii="宋体" w:hAnsi="宋体" w:eastAsia="宋体" w:cs="宋体"/>
          <w:b/>
          <w:bCs w:val="0"/>
          <w:color w:val="auto"/>
          <w:sz w:val="22"/>
          <w:szCs w:val="22"/>
        </w:rPr>
        <w:t>主要内容</w:t>
      </w:r>
    </w:p>
    <w:p w14:paraId="4F1B85E8">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1、服务人员要求</w:t>
      </w:r>
    </w:p>
    <w:p w14:paraId="5EA516C0">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1.1.供应商需指派4名技术人员提供服务，其中3人驻场，1人按需提供全方位网络维护服务。驻场人员需经采购人认可，对于达不到工作要求的人员，采购人将予以退回，并要求供应商立即重新选派人员。供应商应另行提供1名符合要求的候选服务人员，若正式派驻的服务人员临时请假或因故离岗，应由候选人员立即替补。</w:t>
      </w:r>
    </w:p>
    <w:p w14:paraId="17A85EDE">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1.2.</w:t>
      </w:r>
      <w:r>
        <w:rPr>
          <w:rFonts w:hint="eastAsia" w:ascii="宋体" w:hAnsi="宋体" w:eastAsia="宋体" w:cs="宋体"/>
          <w:b w:val="0"/>
          <w:bCs/>
          <w:color w:val="auto"/>
          <w:sz w:val="22"/>
          <w:szCs w:val="22"/>
        </w:rPr>
        <w:t>驻场人员须遵守采购人的上下班作息时间及各项规章制度，且不再承担服务商安排的</w:t>
      </w:r>
      <w:r>
        <w:rPr>
          <w:rFonts w:hint="eastAsia" w:ascii="宋体" w:hAnsi="宋体" w:eastAsia="宋体" w:cs="宋体"/>
          <w:b w:val="0"/>
          <w:bCs/>
          <w:color w:val="auto"/>
          <w:sz w:val="22"/>
          <w:szCs w:val="22"/>
          <w:lang w:eastAsia="zh-CN"/>
        </w:rPr>
        <w:t>其他</w:t>
      </w:r>
      <w:r>
        <w:rPr>
          <w:rFonts w:hint="eastAsia" w:ascii="宋体" w:hAnsi="宋体" w:eastAsia="宋体" w:cs="宋体"/>
          <w:b w:val="0"/>
          <w:bCs/>
          <w:color w:val="auto"/>
          <w:sz w:val="22"/>
          <w:szCs w:val="22"/>
        </w:rPr>
        <w:t>工作，采购人为驻场</w:t>
      </w:r>
      <w:r>
        <w:rPr>
          <w:rFonts w:hint="eastAsia" w:ascii="宋体" w:hAnsi="宋体" w:eastAsia="宋体" w:cs="宋体"/>
          <w:b w:val="0"/>
          <w:bCs/>
          <w:color w:val="auto"/>
          <w:sz w:val="22"/>
          <w:szCs w:val="22"/>
          <w:lang w:eastAsia="zh-CN"/>
        </w:rPr>
        <w:t>人员</w:t>
      </w:r>
      <w:r>
        <w:rPr>
          <w:rFonts w:hint="eastAsia" w:ascii="宋体" w:hAnsi="宋体" w:eastAsia="宋体" w:cs="宋体"/>
          <w:b w:val="0"/>
          <w:bCs/>
          <w:color w:val="auto"/>
          <w:sz w:val="22"/>
          <w:szCs w:val="22"/>
        </w:rPr>
        <w:t>提供必要的工作条件。驻场人员要求</w:t>
      </w:r>
      <w:r>
        <w:rPr>
          <w:rFonts w:hint="eastAsia" w:ascii="宋体" w:hAnsi="宋体" w:eastAsia="宋体" w:cs="宋体"/>
          <w:b w:val="0"/>
          <w:bCs/>
          <w:color w:val="auto"/>
          <w:sz w:val="22"/>
          <w:szCs w:val="22"/>
          <w:lang w:eastAsia="zh-CN"/>
        </w:rPr>
        <w:t>具备</w:t>
      </w:r>
      <w:r>
        <w:rPr>
          <w:rFonts w:hint="eastAsia" w:ascii="宋体" w:hAnsi="宋体" w:eastAsia="宋体" w:cs="宋体"/>
          <w:b w:val="0"/>
          <w:bCs/>
          <w:color w:val="auto"/>
          <w:sz w:val="22"/>
          <w:szCs w:val="22"/>
        </w:rPr>
        <w:t>计算机网络设备与信息系统的集成、维护工作经验，熟练掌握维护内容所涉及的计算机技术，</w:t>
      </w:r>
      <w:r>
        <w:rPr>
          <w:rFonts w:hint="eastAsia" w:ascii="宋体" w:hAnsi="宋体" w:eastAsia="宋体" w:cs="宋体"/>
          <w:b w:val="0"/>
          <w:bCs/>
          <w:color w:val="auto"/>
          <w:sz w:val="22"/>
          <w:szCs w:val="22"/>
          <w:lang w:eastAsia="zh-CN"/>
        </w:rPr>
        <w:t>并提</w:t>
      </w:r>
      <w:r>
        <w:rPr>
          <w:rFonts w:hint="eastAsia" w:ascii="宋体" w:hAnsi="宋体" w:eastAsia="宋体" w:cs="宋体"/>
          <w:b w:val="0"/>
          <w:bCs/>
          <w:color w:val="auto"/>
          <w:sz w:val="22"/>
          <w:szCs w:val="22"/>
        </w:rPr>
        <w:t>供毕业证书和身份证</w:t>
      </w:r>
      <w:r>
        <w:rPr>
          <w:rFonts w:hint="eastAsia" w:ascii="宋体" w:hAnsi="宋体" w:eastAsia="宋体" w:cs="宋体"/>
          <w:b w:val="0"/>
          <w:bCs/>
          <w:color w:val="auto"/>
          <w:sz w:val="22"/>
          <w:szCs w:val="22"/>
          <w:lang w:val="en-US" w:eastAsia="zh-CN"/>
        </w:rPr>
        <w:t>复印</w:t>
      </w:r>
      <w:r>
        <w:rPr>
          <w:rFonts w:hint="eastAsia" w:ascii="宋体" w:hAnsi="宋体" w:eastAsia="宋体" w:cs="宋体"/>
          <w:b w:val="0"/>
          <w:bCs/>
          <w:color w:val="auto"/>
          <w:sz w:val="22"/>
          <w:szCs w:val="22"/>
        </w:rPr>
        <w:t>件加盖</w:t>
      </w:r>
      <w:r>
        <w:rPr>
          <w:rFonts w:hint="eastAsia" w:ascii="宋体" w:hAnsi="宋体" w:eastAsia="宋体" w:cs="宋体"/>
          <w:b w:val="0"/>
          <w:bCs/>
          <w:color w:val="auto"/>
          <w:sz w:val="22"/>
          <w:szCs w:val="22"/>
          <w:lang w:val="en-US" w:eastAsia="zh-CN"/>
        </w:rPr>
        <w:t>供应商</w:t>
      </w:r>
      <w:r>
        <w:rPr>
          <w:rFonts w:hint="eastAsia" w:ascii="宋体" w:hAnsi="宋体" w:eastAsia="宋体" w:cs="宋体"/>
          <w:b w:val="0"/>
          <w:bCs/>
          <w:color w:val="auto"/>
          <w:sz w:val="22"/>
          <w:szCs w:val="22"/>
        </w:rPr>
        <w:t>公章，具体要求如下：</w:t>
      </w:r>
    </w:p>
    <w:p w14:paraId="30637857">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1.2.1</w:t>
      </w:r>
      <w:r>
        <w:rPr>
          <w:rFonts w:hint="eastAsia" w:ascii="宋体" w:hAnsi="宋体" w:eastAsia="宋体" w:cs="宋体"/>
          <w:b/>
          <w:bCs w:val="0"/>
          <w:color w:val="auto"/>
          <w:sz w:val="22"/>
          <w:szCs w:val="22"/>
        </w:rPr>
        <w:t>驻场人员（</w:t>
      </w:r>
      <w:r>
        <w:rPr>
          <w:rFonts w:hint="eastAsia" w:ascii="宋体" w:hAnsi="宋体" w:eastAsia="宋体" w:cs="宋体"/>
          <w:b/>
          <w:bCs w:val="0"/>
          <w:color w:val="auto"/>
          <w:sz w:val="22"/>
          <w:szCs w:val="22"/>
          <w:lang w:val="en-US" w:eastAsia="zh-CN"/>
        </w:rPr>
        <w:t>信息安全保障工程师1</w:t>
      </w:r>
      <w:r>
        <w:rPr>
          <w:rFonts w:hint="eastAsia" w:ascii="宋体" w:hAnsi="宋体" w:eastAsia="宋体" w:cs="宋体"/>
          <w:b/>
          <w:bCs w:val="0"/>
          <w:color w:val="auto"/>
          <w:sz w:val="22"/>
          <w:szCs w:val="22"/>
        </w:rPr>
        <w:t>人）</w:t>
      </w:r>
    </w:p>
    <w:p w14:paraId="0FFC1EAB">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bCs w:val="0"/>
          <w:color w:val="auto"/>
          <w:sz w:val="22"/>
          <w:szCs w:val="22"/>
          <w:lang w:val="en-US" w:eastAsia="zh-CN"/>
        </w:rPr>
        <w:t>★</w:t>
      </w:r>
      <w:r>
        <w:rPr>
          <w:rFonts w:hint="eastAsia" w:ascii="宋体" w:hAnsi="宋体" w:eastAsia="宋体" w:cs="宋体"/>
          <w:b w:val="0"/>
          <w:bCs/>
          <w:color w:val="auto"/>
          <w:sz w:val="22"/>
          <w:szCs w:val="22"/>
          <w:lang w:val="en-US" w:eastAsia="zh-CN"/>
        </w:rPr>
        <w:t xml:space="preserve">（1）需针对滨海校区数据中心内全部计算机信息系统开展软、硬件故障排除、日常维护、定期巡查工作，提供数据安全存储保障服务，并依据等保二级标准，确保其安全且稳定地运行。 </w:t>
      </w:r>
    </w:p>
    <w:p w14:paraId="6B4F5787">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bCs w:val="0"/>
          <w:color w:val="auto"/>
          <w:sz w:val="22"/>
          <w:szCs w:val="22"/>
          <w:lang w:val="en-US" w:eastAsia="zh-CN"/>
        </w:rPr>
        <w:t>★</w:t>
      </w:r>
      <w:r>
        <w:rPr>
          <w:rFonts w:hint="eastAsia" w:ascii="宋体" w:hAnsi="宋体" w:eastAsia="宋体" w:cs="宋体"/>
          <w:b w:val="0"/>
          <w:bCs/>
          <w:color w:val="auto"/>
          <w:sz w:val="22"/>
          <w:szCs w:val="22"/>
          <w:lang w:val="en-US" w:eastAsia="zh-CN"/>
        </w:rPr>
        <w:t>（2）配合校方规划学校整体网络，包括IP划分等，制作网线及小范围设备位置调整，维护各接入层交换机及路由器，负责学校内部网络的故障检查及排除工作，同时需要确保滨海、乐清、茶山校区的网络畅通。</w:t>
      </w:r>
    </w:p>
    <w:p w14:paraId="1305E87D">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 xml:space="preserve"> （3）做好数据中心设备管理，监控并分析服务器、存储、网络安全设备、UPS等系统的工作状态和系统事件，定期进行升级、配置优化、补充设备资料库。</w:t>
      </w:r>
    </w:p>
    <w:p w14:paraId="5998CAA5">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 xml:space="preserve"> （4）为确保系统安全稳定运行，制定系统故障预防措施及应急预案，发生信息安全事件时能及时进行灾难恢复；并完成分配的其他系统日常维护工作。</w:t>
      </w:r>
    </w:p>
    <w:p w14:paraId="6D9E3443">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 xml:space="preserve"> （5）定期整理机房及楼层、办公室线路，包括端口检查、跳线整理及重新标牌。</w:t>
      </w:r>
    </w:p>
    <w:p w14:paraId="605486A0">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 xml:space="preserve"> （6）配合校方统一管理常用的办公软件、业务系统、操作系统等的版本和类型，定期进行必要的更新。</w:t>
      </w:r>
    </w:p>
    <w:p w14:paraId="3E690C17">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 xml:space="preserve"> （7）配合校方完成数据中心网络架构设计和实施搭建，合理应用成熟技术并跟进行业新技术，确保网络兼顾稳定性和先进性。</w:t>
      </w:r>
    </w:p>
    <w:p w14:paraId="5E96BC96">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 xml:space="preserve"> （8）及时监测网络存储容量规划及性能优化，通过主动监控和被动需求及时发现网络容量和性能问题，及时提供合理优化。</w:t>
      </w:r>
    </w:p>
    <w:p w14:paraId="7462A79A">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 xml:space="preserve"> </w:t>
      </w:r>
      <w:r>
        <w:rPr>
          <w:rFonts w:hint="eastAsia" w:ascii="宋体" w:hAnsi="宋体" w:eastAsia="宋体" w:cs="宋体"/>
          <w:b/>
          <w:bCs w:val="0"/>
          <w:color w:val="auto"/>
          <w:sz w:val="22"/>
          <w:szCs w:val="22"/>
          <w:lang w:val="en-US" w:eastAsia="zh-CN"/>
        </w:rPr>
        <w:t>★</w:t>
      </w:r>
      <w:r>
        <w:rPr>
          <w:rFonts w:hint="eastAsia" w:ascii="宋体" w:hAnsi="宋体" w:eastAsia="宋体" w:cs="宋体"/>
          <w:b w:val="0"/>
          <w:bCs/>
          <w:color w:val="auto"/>
          <w:sz w:val="22"/>
          <w:szCs w:val="22"/>
          <w:lang w:val="en-US" w:eastAsia="zh-CN"/>
        </w:rPr>
        <w:t>（9）精通TCP/IP、BGP、OSPF、EIGRP、IPsecVPN等网络技术。精通MPLS VPN、VLAN、STP、组播等协议的工作原理，熟练掌握路由、交换、防火墙等设备的调试（如VLAN、ACL、路由策略等配置），具备网络故障分析与快速解决能力，精通网络安全防护配置。</w:t>
      </w:r>
    </w:p>
    <w:p w14:paraId="04CDEA78">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（10）负责校园AD域控、企业邮箱、文件服务器、超融合平台、数据存储、数据备份等应用服务器的部署。</w:t>
      </w:r>
    </w:p>
    <w:p w14:paraId="3ED2DBDD">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（11）与各学院评估业务需求，深入了解业务逻辑及痛点，提供解决方案。</w:t>
      </w:r>
    </w:p>
    <w:p w14:paraId="7483AC0E">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（12）负责网络设备的测试、选型，并与厂商及运营商进行沟通合作。</w:t>
      </w:r>
    </w:p>
    <w:p w14:paraId="448F3474">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（13）完成部门主管布置的各项工作，协助其他部门完成相应工作任务。</w:t>
      </w:r>
    </w:p>
    <w:p w14:paraId="6F089AA9">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lang w:eastAsia="zh-CN"/>
        </w:rPr>
      </w:pPr>
      <w:r>
        <w:rPr>
          <w:rFonts w:hint="eastAsia" w:ascii="宋体" w:hAnsi="宋体" w:eastAsia="宋体" w:cs="宋体"/>
          <w:b/>
          <w:bCs w:val="0"/>
          <w:color w:val="auto"/>
          <w:sz w:val="22"/>
          <w:szCs w:val="22"/>
          <w:lang w:val="en-US" w:eastAsia="zh-CN"/>
        </w:rPr>
        <w:t>1.2.2</w:t>
      </w:r>
      <w:r>
        <w:rPr>
          <w:rFonts w:hint="eastAsia" w:ascii="宋体" w:hAnsi="宋体" w:eastAsia="宋体" w:cs="宋体"/>
          <w:b/>
          <w:bCs w:val="0"/>
          <w:color w:val="auto"/>
          <w:sz w:val="22"/>
          <w:szCs w:val="22"/>
        </w:rPr>
        <w:t>驻场人员（</w:t>
      </w:r>
      <w:r>
        <w:rPr>
          <w:rFonts w:hint="eastAsia" w:ascii="宋体" w:hAnsi="宋体" w:eastAsia="宋体" w:cs="宋体"/>
          <w:b/>
          <w:bCs w:val="0"/>
          <w:color w:val="auto"/>
          <w:sz w:val="22"/>
          <w:szCs w:val="22"/>
          <w:lang w:val="en-US" w:eastAsia="zh-CN"/>
        </w:rPr>
        <w:t>运维保障工程师2</w:t>
      </w:r>
      <w:r>
        <w:rPr>
          <w:rFonts w:hint="eastAsia" w:ascii="宋体" w:hAnsi="宋体" w:eastAsia="宋体" w:cs="宋体"/>
          <w:b/>
          <w:bCs w:val="0"/>
          <w:color w:val="auto"/>
          <w:sz w:val="22"/>
          <w:szCs w:val="22"/>
        </w:rPr>
        <w:t>人）</w:t>
      </w:r>
    </w:p>
    <w:p w14:paraId="3FDF9DE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（1）分别负责维护滨海和乐清校区网络及其设备的配置管理、故障排除等日常工作。</w:t>
      </w:r>
    </w:p>
    <w:p w14:paraId="37EFD835">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bCs w:val="0"/>
          <w:color w:val="auto"/>
          <w:sz w:val="22"/>
          <w:szCs w:val="22"/>
          <w:lang w:val="en-US" w:eastAsia="zh-CN"/>
        </w:rPr>
        <w:t>★</w:t>
      </w:r>
      <w:r>
        <w:rPr>
          <w:rFonts w:hint="eastAsia" w:ascii="宋体" w:hAnsi="宋体" w:eastAsia="宋体" w:cs="宋体"/>
          <w:b w:val="0"/>
          <w:bCs/>
          <w:color w:val="auto"/>
          <w:sz w:val="22"/>
          <w:szCs w:val="22"/>
          <w:lang w:val="en-US" w:eastAsia="zh-CN"/>
        </w:rPr>
        <w:t>（2）负责全校信息化硬件设备（如教学终端、办公设备等）的检修及软件系统的维护工作，包括故障解决、性能优化、日常维护等。</w:t>
      </w:r>
    </w:p>
    <w:p w14:paraId="0DB47EE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（3）与合作伙伴、供应商的技术人员进行技术交流、现场实施、问题升级处理等工作。</w:t>
      </w:r>
    </w:p>
    <w:p w14:paraId="1C04698A">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（4）负责宿舍区日常网络维护及故障排查。</w:t>
      </w:r>
    </w:p>
    <w:p w14:paraId="3EE64696">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（5）负责网络及WiFi等集成项目的实施及后期运维支撑。</w:t>
      </w:r>
    </w:p>
    <w:p w14:paraId="63862EB7">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（6）完成部门主管布置的各项工作，协助其他部门完成相应工作任务。</w:t>
      </w:r>
    </w:p>
    <w:p w14:paraId="38EA6CDD">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lang w:val="en-US" w:eastAsia="zh-CN"/>
        </w:rPr>
      </w:pPr>
      <w:r>
        <w:rPr>
          <w:rFonts w:hint="eastAsia" w:ascii="宋体" w:hAnsi="宋体" w:eastAsia="宋体" w:cs="宋体"/>
          <w:b/>
          <w:bCs w:val="0"/>
          <w:color w:val="auto"/>
          <w:sz w:val="22"/>
          <w:szCs w:val="22"/>
          <w:lang w:val="en-US" w:eastAsia="zh-CN"/>
        </w:rPr>
        <w:t>1.2.3 网络维护（1人）</w:t>
      </w:r>
    </w:p>
    <w:p w14:paraId="11966E9D">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★（1）熟悉各网络及安全设备特性，具有一定的网络规划能力。应急情况下，要求在2小时内到达现场开展工作。</w:t>
      </w:r>
    </w:p>
    <w:p w14:paraId="690EDE9F">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★（2）精通VLAN、STP、DHCP、NAT等核心网络协议配置与排查，精通深信服、安恒、H3C、华为、锐捷等主流厂商交换机、路由器、防火墙等安全设备的配置部署，熟练掌握网络拓扑设计、IP地址规划等能力。</w:t>
      </w:r>
    </w:p>
    <w:p w14:paraId="40C11CAF">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注：</w:t>
      </w:r>
    </w:p>
    <w:p w14:paraId="0BF57C53">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eastAsia="zh-CN"/>
        </w:rPr>
        <w:t>1）</w:t>
      </w:r>
      <w:r>
        <w:rPr>
          <w:rFonts w:hint="eastAsia" w:ascii="宋体" w:hAnsi="宋体" w:eastAsia="宋体" w:cs="宋体"/>
          <w:b w:val="0"/>
          <w:bCs/>
          <w:color w:val="auto"/>
          <w:sz w:val="22"/>
          <w:szCs w:val="22"/>
          <w:lang w:val="en-US" w:eastAsia="zh-CN"/>
        </w:rPr>
        <w:t>网络服务人员及驻场人员应为供应商正式职工，需提供投标截止时间前四个月内任意二个月在本次投标单位缴纳社保记录（由社保险部门出具的社保证明），并加盖供应商公章。</w:t>
      </w:r>
    </w:p>
    <w:p w14:paraId="090587AA">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2）驻场人员须服从采购人工作分配，且能为</w:t>
      </w:r>
      <w:r>
        <w:rPr>
          <w:rFonts w:hint="eastAsia" w:ascii="宋体" w:hAnsi="宋体" w:eastAsia="宋体" w:cs="宋体"/>
          <w:b w:val="0"/>
          <w:bCs/>
          <w:color w:val="auto"/>
          <w:sz w:val="22"/>
          <w:szCs w:val="22"/>
          <w:lang w:val="en-US" w:eastAsia="zh-CN"/>
        </w:rPr>
        <w:t>各部门</w:t>
      </w:r>
      <w:r>
        <w:rPr>
          <w:rFonts w:hint="eastAsia" w:ascii="宋体" w:hAnsi="宋体" w:eastAsia="宋体" w:cs="宋体"/>
          <w:b w:val="0"/>
          <w:bCs/>
          <w:color w:val="auto"/>
          <w:sz w:val="22"/>
          <w:szCs w:val="22"/>
        </w:rPr>
        <w:t>提供上门服务。</w:t>
      </w:r>
    </w:p>
    <w:p w14:paraId="251CAE48">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rPr>
      </w:pPr>
      <w:r>
        <w:rPr>
          <w:rFonts w:hint="eastAsia" w:ascii="宋体" w:hAnsi="宋体" w:eastAsia="宋体" w:cs="宋体"/>
          <w:b/>
          <w:bCs w:val="0"/>
          <w:color w:val="auto"/>
          <w:sz w:val="22"/>
          <w:szCs w:val="22"/>
          <w:lang w:val="en-US" w:eastAsia="zh-CN"/>
        </w:rPr>
        <w:t>2、</w:t>
      </w:r>
      <w:r>
        <w:rPr>
          <w:rFonts w:hint="eastAsia" w:ascii="宋体" w:hAnsi="宋体" w:eastAsia="宋体" w:cs="宋体"/>
          <w:b/>
          <w:bCs w:val="0"/>
          <w:color w:val="auto"/>
          <w:sz w:val="22"/>
          <w:szCs w:val="22"/>
        </w:rPr>
        <w:t>服务质量要求</w:t>
      </w:r>
    </w:p>
    <w:p w14:paraId="7DA013BD">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为保证及时响应服务需求，加强服务质量管理，具体要求如下：</w:t>
      </w:r>
    </w:p>
    <w:p w14:paraId="1AED08F4">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2</w:t>
      </w:r>
      <w:r>
        <w:rPr>
          <w:rFonts w:hint="eastAsia" w:ascii="宋体" w:hAnsi="宋体" w:eastAsia="宋体" w:cs="宋体"/>
          <w:b w:val="0"/>
          <w:bCs/>
          <w:color w:val="auto"/>
          <w:sz w:val="22"/>
          <w:szCs w:val="22"/>
        </w:rPr>
        <w:t>.1</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rPr>
        <w:t>供应商必须承诺对服务过程中所涉及的软硬件设备情况和各项数据严格保密，并与采购人签订相关保密条款。</w:t>
      </w:r>
    </w:p>
    <w:p w14:paraId="1BF72A89">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lang w:val="en-US" w:eastAsia="zh-CN"/>
        </w:rPr>
        <w:t>2.2.供应商应具备一定的技术人员调配能力，可根据采购人需求进行人员调整。对驻场人员难以解决的问题，供应商后备技术人员需提供7*24小时响应服务。</w:t>
      </w:r>
    </w:p>
    <w:p w14:paraId="3F82846E">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rPr>
        <w:t>服务期限</w:t>
      </w:r>
    </w:p>
    <w:p w14:paraId="47C4911B">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本项目服务期</w:t>
      </w:r>
      <w:r>
        <w:rPr>
          <w:rFonts w:hint="eastAsia" w:ascii="宋体" w:hAnsi="宋体" w:eastAsia="宋体" w:cs="宋体"/>
          <w:b w:val="0"/>
          <w:bCs/>
          <w:color w:val="auto"/>
          <w:sz w:val="22"/>
          <w:szCs w:val="22"/>
          <w:lang w:eastAsia="zh-CN"/>
        </w:rPr>
        <w:t>限为一年</w:t>
      </w:r>
      <w:r>
        <w:rPr>
          <w:rFonts w:hint="eastAsia" w:ascii="宋体" w:hAnsi="宋体" w:eastAsia="宋体" w:cs="宋体"/>
          <w:b w:val="0"/>
          <w:bCs/>
          <w:color w:val="auto"/>
          <w:sz w:val="22"/>
          <w:szCs w:val="22"/>
        </w:rPr>
        <w:t>。</w:t>
      </w:r>
    </w:p>
    <w:p w14:paraId="4662DD9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lang w:val="en-US" w:eastAsia="zh-CN"/>
        </w:rPr>
        <w:t>4</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rPr>
        <w:t>服务质量考核办法</w:t>
      </w:r>
    </w:p>
    <w:p w14:paraId="6D9A87B6">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合同服务期</w:t>
      </w:r>
      <w:r>
        <w:rPr>
          <w:rFonts w:hint="eastAsia" w:ascii="宋体" w:hAnsi="宋体" w:eastAsia="宋体" w:cs="宋体"/>
          <w:b w:val="0"/>
          <w:bCs/>
          <w:color w:val="auto"/>
          <w:sz w:val="22"/>
          <w:szCs w:val="22"/>
          <w:lang w:val="en-US" w:eastAsia="zh-CN"/>
        </w:rPr>
        <w:t>开始半年</w:t>
      </w:r>
      <w:r>
        <w:rPr>
          <w:rFonts w:hint="eastAsia" w:ascii="宋体" w:hAnsi="宋体" w:eastAsia="宋体" w:cs="宋体"/>
          <w:b w:val="0"/>
          <w:bCs/>
          <w:color w:val="auto"/>
          <w:sz w:val="22"/>
          <w:szCs w:val="22"/>
        </w:rPr>
        <w:t>后，由采购人组织对供应商提供的服务质量进行验收考核，考核起始分为100分，考核指标明细如下表：</w:t>
      </w:r>
    </w:p>
    <w:tbl>
      <w:tblPr>
        <w:tblStyle w:val="5"/>
        <w:tblW w:w="9836" w:type="dxa"/>
        <w:jc w:val="center"/>
        <w:tblLayout w:type="fixed"/>
        <w:tblCellMar>
          <w:top w:w="0" w:type="dxa"/>
          <w:left w:w="108" w:type="dxa"/>
          <w:bottom w:w="0" w:type="dxa"/>
          <w:right w:w="108" w:type="dxa"/>
        </w:tblCellMar>
      </w:tblPr>
      <w:tblGrid>
        <w:gridCol w:w="983"/>
        <w:gridCol w:w="1237"/>
        <w:gridCol w:w="3840"/>
        <w:gridCol w:w="3776"/>
      </w:tblGrid>
      <w:tr w14:paraId="12EC293A">
        <w:tblPrEx>
          <w:tblCellMar>
            <w:top w:w="0" w:type="dxa"/>
            <w:left w:w="108" w:type="dxa"/>
            <w:bottom w:w="0" w:type="dxa"/>
            <w:right w:w="108" w:type="dxa"/>
          </w:tblCellMar>
        </w:tblPrEx>
        <w:trPr>
          <w:trHeight w:val="567"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14:paraId="5A705DDE">
            <w:pPr>
              <w:jc w:val="center"/>
              <w:rPr>
                <w:rFonts w:hint="eastAsia" w:ascii="宋体" w:hAnsi="宋体" w:eastAsia="宋体" w:cs="宋体"/>
                <w:b w:val="0"/>
                <w:bCs w:val="0"/>
                <w:color w:val="000000"/>
                <w:kern w:val="0"/>
                <w:sz w:val="22"/>
                <w:szCs w:val="22"/>
                <w:highlight w:val="none"/>
                <w:lang w:bidi="ar"/>
              </w:rPr>
            </w:pPr>
            <w:r>
              <w:rPr>
                <w:rFonts w:hint="eastAsia" w:ascii="宋体" w:hAnsi="宋体" w:eastAsia="宋体" w:cs="宋体"/>
                <w:b w:val="0"/>
                <w:bCs w:val="0"/>
                <w:color w:val="000000"/>
                <w:kern w:val="0"/>
                <w:sz w:val="22"/>
                <w:szCs w:val="22"/>
                <w:highlight w:val="none"/>
                <w:lang w:bidi="ar"/>
              </w:rPr>
              <w:t>指标</w:t>
            </w:r>
          </w:p>
          <w:p w14:paraId="71B7172D">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分类</w:t>
            </w:r>
          </w:p>
        </w:tc>
        <w:tc>
          <w:tcPr>
            <w:tcW w:w="1237" w:type="dxa"/>
            <w:tcBorders>
              <w:top w:val="single" w:color="auto" w:sz="4" w:space="0"/>
              <w:left w:val="nil"/>
              <w:bottom w:val="single" w:color="auto" w:sz="4" w:space="0"/>
              <w:right w:val="single" w:color="auto" w:sz="4" w:space="0"/>
            </w:tcBorders>
            <w:noWrap w:val="0"/>
            <w:vAlign w:val="center"/>
          </w:tcPr>
          <w:p w14:paraId="4B108E58">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指标名称</w:t>
            </w:r>
          </w:p>
        </w:tc>
        <w:tc>
          <w:tcPr>
            <w:tcW w:w="3840" w:type="dxa"/>
            <w:tcBorders>
              <w:top w:val="single" w:color="auto" w:sz="4" w:space="0"/>
              <w:left w:val="nil"/>
              <w:bottom w:val="single" w:color="auto" w:sz="4" w:space="0"/>
              <w:right w:val="single" w:color="auto" w:sz="4" w:space="0"/>
            </w:tcBorders>
            <w:noWrap w:val="0"/>
            <w:vAlign w:val="center"/>
          </w:tcPr>
          <w:p w14:paraId="7FE0F22E">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指标定义</w:t>
            </w:r>
          </w:p>
        </w:tc>
        <w:tc>
          <w:tcPr>
            <w:tcW w:w="3776" w:type="dxa"/>
            <w:tcBorders>
              <w:top w:val="single" w:color="auto" w:sz="4" w:space="0"/>
              <w:left w:val="nil"/>
              <w:bottom w:val="single" w:color="auto" w:sz="4" w:space="0"/>
              <w:right w:val="single" w:color="auto" w:sz="4" w:space="0"/>
            </w:tcBorders>
            <w:noWrap w:val="0"/>
            <w:vAlign w:val="center"/>
          </w:tcPr>
          <w:p w14:paraId="4C71735D">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说明</w:t>
            </w:r>
          </w:p>
        </w:tc>
      </w:tr>
      <w:tr w14:paraId="211ACC95">
        <w:tblPrEx>
          <w:tblCellMar>
            <w:top w:w="0" w:type="dxa"/>
            <w:left w:w="108" w:type="dxa"/>
            <w:bottom w:w="0" w:type="dxa"/>
            <w:right w:w="108" w:type="dxa"/>
          </w:tblCellMar>
        </w:tblPrEx>
        <w:trPr>
          <w:trHeight w:val="567" w:hRule="atLeast"/>
          <w:jc w:val="center"/>
        </w:trPr>
        <w:tc>
          <w:tcPr>
            <w:tcW w:w="983" w:type="dxa"/>
            <w:tcBorders>
              <w:top w:val="nil"/>
              <w:left w:val="single" w:color="auto" w:sz="4" w:space="0"/>
              <w:bottom w:val="single" w:color="auto" w:sz="4" w:space="0"/>
              <w:right w:val="single" w:color="auto" w:sz="4" w:space="0"/>
            </w:tcBorders>
            <w:noWrap w:val="0"/>
            <w:vAlign w:val="center"/>
          </w:tcPr>
          <w:p w14:paraId="482E9DBA">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人员</w:t>
            </w:r>
          </w:p>
        </w:tc>
        <w:tc>
          <w:tcPr>
            <w:tcW w:w="1237" w:type="dxa"/>
            <w:tcBorders>
              <w:top w:val="nil"/>
              <w:left w:val="nil"/>
              <w:bottom w:val="single" w:color="auto" w:sz="4" w:space="0"/>
              <w:right w:val="single" w:color="auto" w:sz="4" w:space="0"/>
            </w:tcBorders>
            <w:noWrap w:val="0"/>
            <w:vAlign w:val="center"/>
          </w:tcPr>
          <w:p w14:paraId="20DE4EE7">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运维投入</w:t>
            </w:r>
          </w:p>
        </w:tc>
        <w:tc>
          <w:tcPr>
            <w:tcW w:w="3840" w:type="dxa"/>
            <w:tcBorders>
              <w:top w:val="nil"/>
              <w:left w:val="nil"/>
              <w:bottom w:val="single" w:color="auto" w:sz="4" w:space="0"/>
              <w:right w:val="single" w:color="auto" w:sz="4" w:space="0"/>
            </w:tcBorders>
            <w:noWrap w:val="0"/>
            <w:vAlign w:val="center"/>
          </w:tcPr>
          <w:p w14:paraId="6A8BC01D">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保持运维人员稳定性，人员变更应征得业主单位同意，做好交接过渡，确保稳定交接；</w:t>
            </w:r>
            <w:r>
              <w:rPr>
                <w:rFonts w:hint="eastAsia" w:ascii="宋体" w:hAnsi="宋体" w:eastAsia="宋体" w:cs="宋体"/>
                <w:b w:val="0"/>
                <w:bCs w:val="0"/>
                <w:sz w:val="22"/>
                <w:szCs w:val="22"/>
                <w:highlight w:val="none"/>
              </w:rPr>
              <w:t>对于达不到工作要求的人员，采购人将予以退回，并要求供应商立即重新选派人员。</w:t>
            </w:r>
          </w:p>
        </w:tc>
        <w:tc>
          <w:tcPr>
            <w:tcW w:w="3776" w:type="dxa"/>
            <w:tcBorders>
              <w:top w:val="nil"/>
              <w:left w:val="nil"/>
              <w:bottom w:val="single" w:color="auto" w:sz="4" w:space="0"/>
              <w:right w:val="single" w:color="auto" w:sz="4" w:space="0"/>
            </w:tcBorders>
            <w:noWrap w:val="0"/>
            <w:vAlign w:val="center"/>
          </w:tcPr>
          <w:p w14:paraId="5E9B04CF">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未征得业主单位同意更换人员扣5分；人员能力不达标不能及时重新选派的扣5分；</w:t>
            </w:r>
          </w:p>
        </w:tc>
      </w:tr>
      <w:tr w14:paraId="284BDD0C">
        <w:tblPrEx>
          <w:tblCellMar>
            <w:top w:w="0" w:type="dxa"/>
            <w:left w:w="108" w:type="dxa"/>
            <w:bottom w:w="0" w:type="dxa"/>
            <w:right w:w="108" w:type="dxa"/>
          </w:tblCellMar>
        </w:tblPrEx>
        <w:trPr>
          <w:trHeight w:val="1142" w:hRule="atLeast"/>
          <w:jc w:val="center"/>
        </w:trPr>
        <w:tc>
          <w:tcPr>
            <w:tcW w:w="983" w:type="dxa"/>
            <w:vMerge w:val="restart"/>
            <w:tcBorders>
              <w:top w:val="single" w:color="auto" w:sz="4" w:space="0"/>
              <w:left w:val="single" w:color="auto" w:sz="4" w:space="0"/>
              <w:right w:val="single" w:color="auto" w:sz="4" w:space="0"/>
            </w:tcBorders>
            <w:noWrap w:val="0"/>
            <w:vAlign w:val="center"/>
          </w:tcPr>
          <w:p w14:paraId="7E756F23">
            <w:pPr>
              <w:jc w:val="center"/>
              <w:rPr>
                <w:rFonts w:hint="eastAsia" w:ascii="宋体" w:hAnsi="宋体" w:eastAsia="宋体" w:cs="宋体"/>
                <w:b w:val="0"/>
                <w:bCs w:val="0"/>
                <w:sz w:val="22"/>
                <w:szCs w:val="22"/>
                <w:highlight w:val="none"/>
              </w:rPr>
            </w:pPr>
            <w:r>
              <w:rPr>
                <w:rFonts w:hint="eastAsia" w:ascii="宋体" w:hAnsi="宋体" w:eastAsia="宋体" w:cs="宋体"/>
                <w:b w:val="0"/>
                <w:bCs w:val="0"/>
                <w:sz w:val="22"/>
                <w:szCs w:val="22"/>
                <w:highlight w:val="none"/>
              </w:rPr>
              <w:t>服务</w:t>
            </w:r>
          </w:p>
        </w:tc>
        <w:tc>
          <w:tcPr>
            <w:tcW w:w="1237" w:type="dxa"/>
            <w:tcBorders>
              <w:top w:val="nil"/>
              <w:left w:val="nil"/>
              <w:bottom w:val="single" w:color="auto" w:sz="4" w:space="0"/>
              <w:right w:val="single" w:color="auto" w:sz="4" w:space="0"/>
            </w:tcBorders>
            <w:noWrap w:val="0"/>
            <w:vAlign w:val="center"/>
          </w:tcPr>
          <w:p w14:paraId="0C159F5F">
            <w:pPr>
              <w:jc w:val="center"/>
              <w:rPr>
                <w:rFonts w:hint="eastAsia" w:ascii="宋体" w:hAnsi="宋体" w:eastAsia="宋体" w:cs="宋体"/>
                <w:b w:val="0"/>
                <w:bCs w:val="0"/>
                <w:color w:val="000000"/>
                <w:kern w:val="0"/>
                <w:sz w:val="22"/>
                <w:szCs w:val="22"/>
                <w:highlight w:val="none"/>
              </w:rPr>
            </w:pPr>
            <w:bookmarkStart w:id="1" w:name="_Hlk179636617"/>
            <w:r>
              <w:rPr>
                <w:rFonts w:hint="eastAsia" w:ascii="宋体" w:hAnsi="宋体" w:eastAsia="宋体" w:cs="宋体"/>
                <w:b w:val="0"/>
                <w:bCs w:val="0"/>
                <w:color w:val="000000"/>
                <w:kern w:val="0"/>
                <w:sz w:val="22"/>
                <w:szCs w:val="22"/>
                <w:highlight w:val="none"/>
              </w:rPr>
              <w:t>网络维护</w:t>
            </w:r>
          </w:p>
        </w:tc>
        <w:tc>
          <w:tcPr>
            <w:tcW w:w="3840" w:type="dxa"/>
            <w:tcBorders>
              <w:top w:val="nil"/>
              <w:left w:val="nil"/>
              <w:bottom w:val="single" w:color="auto" w:sz="4" w:space="0"/>
              <w:right w:val="single" w:color="auto" w:sz="4" w:space="0"/>
            </w:tcBorders>
            <w:noWrap w:val="0"/>
            <w:vAlign w:val="center"/>
          </w:tcPr>
          <w:p w14:paraId="136C8DC4">
            <w:pPr>
              <w:rPr>
                <w:rFonts w:hint="eastAsia" w:ascii="宋体" w:hAnsi="宋体" w:eastAsia="宋体" w:cs="宋体"/>
                <w:b w:val="0"/>
                <w:bCs w:val="0"/>
                <w:kern w:val="0"/>
                <w:sz w:val="22"/>
                <w:szCs w:val="22"/>
                <w:highlight w:val="none"/>
              </w:rPr>
            </w:pPr>
            <w:r>
              <w:rPr>
                <w:rFonts w:hint="eastAsia" w:ascii="宋体" w:hAnsi="宋体" w:eastAsia="宋体" w:cs="宋体"/>
                <w:b w:val="0"/>
                <w:bCs w:val="0"/>
                <w:kern w:val="0"/>
                <w:sz w:val="22"/>
                <w:szCs w:val="22"/>
                <w:highlight w:val="none"/>
                <w:lang w:bidi="ar"/>
              </w:rPr>
              <w:t>维护网络系统运行稳定，</w:t>
            </w:r>
            <w:r>
              <w:rPr>
                <w:rFonts w:hint="eastAsia" w:ascii="宋体" w:hAnsi="宋体" w:eastAsia="宋体" w:cs="宋体"/>
                <w:b w:val="0"/>
                <w:bCs w:val="0"/>
                <w:kern w:val="0"/>
                <w:sz w:val="22"/>
                <w:szCs w:val="22"/>
                <w:highlight w:val="none"/>
              </w:rPr>
              <w:t>及时反馈并协助解决突发问题，确保</w:t>
            </w:r>
            <w:r>
              <w:rPr>
                <w:rFonts w:hint="eastAsia" w:ascii="宋体" w:hAnsi="宋体" w:eastAsia="宋体" w:cs="宋体"/>
                <w:b w:val="0"/>
                <w:bCs w:val="0"/>
                <w:kern w:val="0"/>
                <w:sz w:val="22"/>
                <w:szCs w:val="22"/>
                <w:highlight w:val="none"/>
                <w:lang w:val="en-US" w:eastAsia="zh-CN"/>
              </w:rPr>
              <w:t>温州理工学院业务</w:t>
            </w:r>
            <w:r>
              <w:rPr>
                <w:rFonts w:hint="eastAsia" w:ascii="宋体" w:hAnsi="宋体" w:eastAsia="宋体" w:cs="宋体"/>
                <w:b w:val="0"/>
                <w:bCs w:val="0"/>
                <w:kern w:val="0"/>
                <w:sz w:val="22"/>
                <w:szCs w:val="22"/>
                <w:highlight w:val="none"/>
              </w:rPr>
              <w:t>顺利开展；</w:t>
            </w:r>
            <w:r>
              <w:rPr>
                <w:rFonts w:hint="eastAsia" w:ascii="宋体" w:hAnsi="宋体" w:eastAsia="宋体" w:cs="宋体"/>
                <w:b w:val="0"/>
                <w:bCs w:val="0"/>
                <w:sz w:val="22"/>
                <w:szCs w:val="22"/>
                <w:highlight w:val="none"/>
              </w:rPr>
              <w:t>发生应急情况时，要求在2个小时内到达现场开展工作</w:t>
            </w:r>
            <w:r>
              <w:rPr>
                <w:rFonts w:hint="eastAsia" w:ascii="宋体" w:hAnsi="宋体" w:eastAsia="宋体" w:cs="宋体"/>
                <w:b w:val="0"/>
                <w:bCs w:val="0"/>
                <w:kern w:val="0"/>
                <w:sz w:val="22"/>
                <w:szCs w:val="22"/>
                <w:highlight w:val="none"/>
              </w:rPr>
              <w:t>。</w:t>
            </w:r>
          </w:p>
        </w:tc>
        <w:tc>
          <w:tcPr>
            <w:tcW w:w="3776" w:type="dxa"/>
            <w:tcBorders>
              <w:top w:val="nil"/>
              <w:left w:val="nil"/>
              <w:bottom w:val="single" w:color="auto" w:sz="4" w:space="0"/>
              <w:right w:val="single" w:color="auto" w:sz="4" w:space="0"/>
            </w:tcBorders>
            <w:noWrap w:val="0"/>
            <w:vAlign w:val="center"/>
          </w:tcPr>
          <w:p w14:paraId="33C363E7">
            <w:pPr>
              <w:rPr>
                <w:rFonts w:hint="eastAsia" w:ascii="宋体" w:hAnsi="宋体" w:eastAsia="宋体" w:cs="宋体"/>
                <w:b w:val="0"/>
                <w:bCs w:val="0"/>
                <w:kern w:val="0"/>
                <w:sz w:val="22"/>
                <w:szCs w:val="22"/>
                <w:highlight w:val="none"/>
              </w:rPr>
            </w:pPr>
            <w:r>
              <w:rPr>
                <w:rFonts w:hint="eastAsia" w:ascii="宋体" w:hAnsi="宋体" w:eastAsia="宋体" w:cs="宋体"/>
                <w:b w:val="0"/>
                <w:bCs w:val="0"/>
                <w:kern w:val="0"/>
                <w:sz w:val="22"/>
                <w:szCs w:val="22"/>
                <w:highlight w:val="none"/>
                <w:lang w:bidi="ar"/>
              </w:rPr>
              <w:t>没有在要求时限内到达现场每次扣</w:t>
            </w:r>
            <w:r>
              <w:rPr>
                <w:rFonts w:hint="eastAsia" w:ascii="宋体" w:hAnsi="宋体" w:eastAsia="宋体" w:cs="宋体"/>
                <w:b w:val="0"/>
                <w:bCs w:val="0"/>
                <w:kern w:val="0"/>
                <w:sz w:val="22"/>
                <w:szCs w:val="22"/>
                <w:highlight w:val="none"/>
              </w:rPr>
              <w:t>2</w:t>
            </w:r>
            <w:r>
              <w:rPr>
                <w:rFonts w:hint="eastAsia" w:ascii="宋体" w:hAnsi="宋体" w:eastAsia="宋体" w:cs="宋体"/>
                <w:b w:val="0"/>
                <w:bCs w:val="0"/>
                <w:kern w:val="0"/>
                <w:sz w:val="22"/>
                <w:szCs w:val="22"/>
                <w:highlight w:val="none"/>
                <w:lang w:bidi="ar"/>
              </w:rPr>
              <w:t>分；</w:t>
            </w:r>
          </w:p>
        </w:tc>
      </w:tr>
      <w:bookmarkEnd w:id="1"/>
      <w:tr w14:paraId="0160EDA3">
        <w:tblPrEx>
          <w:tblCellMar>
            <w:top w:w="0" w:type="dxa"/>
            <w:left w:w="108" w:type="dxa"/>
            <w:bottom w:w="0" w:type="dxa"/>
            <w:right w:w="108" w:type="dxa"/>
          </w:tblCellMar>
        </w:tblPrEx>
        <w:trPr>
          <w:trHeight w:val="567" w:hRule="atLeast"/>
          <w:jc w:val="center"/>
        </w:trPr>
        <w:tc>
          <w:tcPr>
            <w:tcW w:w="983" w:type="dxa"/>
            <w:vMerge w:val="continue"/>
            <w:tcBorders>
              <w:top w:val="nil"/>
              <w:left w:val="single" w:color="auto" w:sz="4" w:space="0"/>
              <w:bottom w:val="single" w:color="auto" w:sz="4" w:space="0"/>
              <w:right w:val="single" w:color="auto" w:sz="4" w:space="0"/>
            </w:tcBorders>
            <w:noWrap w:val="0"/>
            <w:vAlign w:val="center"/>
          </w:tcPr>
          <w:p w14:paraId="4C541465">
            <w:pPr>
              <w:rPr>
                <w:rFonts w:hint="eastAsia" w:ascii="宋体" w:hAnsi="宋体" w:eastAsia="宋体" w:cs="宋体"/>
                <w:b w:val="0"/>
                <w:bCs w:val="0"/>
                <w:sz w:val="22"/>
                <w:szCs w:val="22"/>
                <w:highlight w:val="none"/>
              </w:rPr>
            </w:pPr>
          </w:p>
        </w:tc>
        <w:tc>
          <w:tcPr>
            <w:tcW w:w="1237" w:type="dxa"/>
            <w:tcBorders>
              <w:top w:val="nil"/>
              <w:left w:val="nil"/>
              <w:bottom w:val="single" w:color="auto" w:sz="4" w:space="0"/>
              <w:right w:val="single" w:color="auto" w:sz="4" w:space="0"/>
            </w:tcBorders>
            <w:noWrap w:val="0"/>
            <w:vAlign w:val="center"/>
          </w:tcPr>
          <w:p w14:paraId="1CF0DABD">
            <w:pPr>
              <w:jc w:val="center"/>
              <w:rPr>
                <w:rFonts w:hint="eastAsia" w:ascii="宋体" w:hAnsi="宋体" w:eastAsia="宋体" w:cs="宋体"/>
                <w:b w:val="0"/>
                <w:bCs w:val="0"/>
                <w:color w:val="000000"/>
                <w:kern w:val="0"/>
                <w:sz w:val="22"/>
                <w:szCs w:val="22"/>
                <w:highlight w:val="none"/>
              </w:rPr>
            </w:pPr>
            <w:bookmarkStart w:id="2" w:name="_Hlk179636493"/>
            <w:r>
              <w:rPr>
                <w:rFonts w:hint="eastAsia" w:ascii="宋体" w:hAnsi="宋体" w:eastAsia="宋体" w:cs="宋体"/>
                <w:b w:val="0"/>
                <w:bCs w:val="0"/>
                <w:color w:val="000000"/>
                <w:kern w:val="0"/>
                <w:sz w:val="22"/>
                <w:szCs w:val="22"/>
                <w:highlight w:val="none"/>
              </w:rPr>
              <w:t>服务响应</w:t>
            </w:r>
          </w:p>
        </w:tc>
        <w:tc>
          <w:tcPr>
            <w:tcW w:w="3840" w:type="dxa"/>
            <w:tcBorders>
              <w:top w:val="nil"/>
              <w:left w:val="nil"/>
              <w:bottom w:val="single" w:color="auto" w:sz="4" w:space="0"/>
              <w:right w:val="single" w:color="auto" w:sz="4" w:space="0"/>
            </w:tcBorders>
            <w:noWrap w:val="0"/>
            <w:vAlign w:val="center"/>
          </w:tcPr>
          <w:p w14:paraId="2CD37C5E">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rPr>
              <w:t>10分钟内响应用户问题；落实首问责任制；1天内反馈业主单位提出的问题和需求</w:t>
            </w:r>
          </w:p>
        </w:tc>
        <w:tc>
          <w:tcPr>
            <w:tcW w:w="3776" w:type="dxa"/>
            <w:tcBorders>
              <w:top w:val="nil"/>
              <w:left w:val="nil"/>
              <w:bottom w:val="single" w:color="auto" w:sz="4" w:space="0"/>
              <w:right w:val="single" w:color="auto" w:sz="4" w:space="0"/>
            </w:tcBorders>
            <w:noWrap w:val="0"/>
            <w:vAlign w:val="center"/>
          </w:tcPr>
          <w:p w14:paraId="2981C346">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rPr>
              <w:t>响应不及时每发现1次扣1分；未落实首问责任制的每次扣1分；未在时限内反馈业务单位的每次扣2分</w:t>
            </w:r>
          </w:p>
        </w:tc>
      </w:tr>
      <w:bookmarkEnd w:id="2"/>
      <w:tr w14:paraId="545ADD1A">
        <w:tblPrEx>
          <w:tblCellMar>
            <w:top w:w="0" w:type="dxa"/>
            <w:left w:w="108" w:type="dxa"/>
            <w:bottom w:w="0" w:type="dxa"/>
            <w:right w:w="108" w:type="dxa"/>
          </w:tblCellMar>
        </w:tblPrEx>
        <w:trPr>
          <w:trHeight w:val="567" w:hRule="atLeast"/>
          <w:jc w:val="center"/>
        </w:trPr>
        <w:tc>
          <w:tcPr>
            <w:tcW w:w="983" w:type="dxa"/>
            <w:vMerge w:val="continue"/>
            <w:tcBorders>
              <w:top w:val="nil"/>
              <w:left w:val="single" w:color="auto" w:sz="4" w:space="0"/>
              <w:bottom w:val="single" w:color="auto" w:sz="4" w:space="0"/>
              <w:right w:val="single" w:color="auto" w:sz="4" w:space="0"/>
            </w:tcBorders>
            <w:noWrap w:val="0"/>
            <w:vAlign w:val="center"/>
          </w:tcPr>
          <w:p w14:paraId="7388F53B">
            <w:pPr>
              <w:rPr>
                <w:rFonts w:hint="eastAsia" w:ascii="宋体" w:hAnsi="宋体" w:eastAsia="宋体" w:cs="宋体"/>
                <w:b w:val="0"/>
                <w:bCs w:val="0"/>
                <w:sz w:val="22"/>
                <w:szCs w:val="22"/>
                <w:highlight w:val="none"/>
              </w:rPr>
            </w:pPr>
          </w:p>
        </w:tc>
        <w:tc>
          <w:tcPr>
            <w:tcW w:w="1237" w:type="dxa"/>
            <w:tcBorders>
              <w:top w:val="nil"/>
              <w:left w:val="nil"/>
              <w:bottom w:val="single" w:color="auto" w:sz="4" w:space="0"/>
              <w:right w:val="single" w:color="auto" w:sz="4" w:space="0"/>
            </w:tcBorders>
            <w:noWrap w:val="0"/>
            <w:vAlign w:val="center"/>
          </w:tcPr>
          <w:p w14:paraId="0C5EC680">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问题处理</w:t>
            </w:r>
          </w:p>
        </w:tc>
        <w:tc>
          <w:tcPr>
            <w:tcW w:w="3840" w:type="dxa"/>
            <w:tcBorders>
              <w:top w:val="nil"/>
              <w:left w:val="nil"/>
              <w:bottom w:val="single" w:color="auto" w:sz="4" w:space="0"/>
              <w:right w:val="single" w:color="auto" w:sz="4" w:space="0"/>
            </w:tcBorders>
            <w:noWrap w:val="0"/>
            <w:vAlign w:val="center"/>
          </w:tcPr>
          <w:p w14:paraId="1C2C96D2">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及时解决用户反映的问题；在时限内反馈业主单位提出的问题和需求；</w:t>
            </w:r>
          </w:p>
        </w:tc>
        <w:tc>
          <w:tcPr>
            <w:tcW w:w="3776" w:type="dxa"/>
            <w:tcBorders>
              <w:top w:val="nil"/>
              <w:left w:val="nil"/>
              <w:bottom w:val="single" w:color="auto" w:sz="4" w:space="0"/>
              <w:right w:val="single" w:color="auto" w:sz="4" w:space="0"/>
            </w:tcBorders>
            <w:noWrap w:val="0"/>
            <w:vAlign w:val="center"/>
          </w:tcPr>
          <w:p w14:paraId="43952035">
            <w:pPr>
              <w:rPr>
                <w:rFonts w:hint="eastAsia" w:ascii="宋体" w:hAnsi="宋体" w:eastAsia="宋体" w:cs="宋体"/>
                <w:b w:val="0"/>
                <w:bCs w:val="0"/>
                <w:color w:val="000000"/>
                <w:kern w:val="0"/>
                <w:sz w:val="22"/>
                <w:szCs w:val="22"/>
                <w:highlight w:val="none"/>
                <w:lang w:bidi="ar"/>
              </w:rPr>
            </w:pPr>
            <w:r>
              <w:rPr>
                <w:rFonts w:hint="eastAsia" w:ascii="宋体" w:hAnsi="宋体" w:eastAsia="宋体" w:cs="宋体"/>
                <w:b w:val="0"/>
                <w:bCs w:val="0"/>
                <w:color w:val="000000"/>
                <w:kern w:val="0"/>
                <w:sz w:val="22"/>
                <w:szCs w:val="22"/>
                <w:highlight w:val="none"/>
                <w:lang w:bidi="ar"/>
              </w:rPr>
              <w:t>用户反映问题未解决每发现1次扣1分；</w:t>
            </w:r>
          </w:p>
          <w:p w14:paraId="39C49345">
            <w:pPr>
              <w:pStyle w:val="3"/>
              <w:rPr>
                <w:rFonts w:hint="eastAsia" w:ascii="宋体" w:hAnsi="宋体" w:eastAsia="宋体" w:cs="宋体"/>
                <w:b w:val="0"/>
                <w:bCs w:val="0"/>
                <w:sz w:val="22"/>
                <w:szCs w:val="22"/>
                <w:highlight w:val="none"/>
              </w:rPr>
            </w:pPr>
            <w:r>
              <w:rPr>
                <w:rFonts w:hint="eastAsia" w:ascii="宋体" w:hAnsi="宋体" w:eastAsia="宋体" w:cs="宋体"/>
                <w:b w:val="0"/>
                <w:bCs w:val="0"/>
                <w:color w:val="000000"/>
                <w:kern w:val="0"/>
                <w:sz w:val="22"/>
                <w:szCs w:val="22"/>
                <w:highlight w:val="none"/>
                <w:lang w:bidi="ar"/>
              </w:rPr>
              <w:t>无法处理状况或问题未及时上报一次扣2分；</w:t>
            </w:r>
          </w:p>
        </w:tc>
      </w:tr>
      <w:tr w14:paraId="6F106632">
        <w:tblPrEx>
          <w:tblCellMar>
            <w:top w:w="0" w:type="dxa"/>
            <w:left w:w="108" w:type="dxa"/>
            <w:bottom w:w="0" w:type="dxa"/>
            <w:right w:w="108" w:type="dxa"/>
          </w:tblCellMar>
        </w:tblPrEx>
        <w:trPr>
          <w:trHeight w:val="567" w:hRule="atLeast"/>
          <w:jc w:val="center"/>
        </w:trPr>
        <w:tc>
          <w:tcPr>
            <w:tcW w:w="983" w:type="dxa"/>
            <w:tcBorders>
              <w:top w:val="nil"/>
              <w:left w:val="single" w:color="auto" w:sz="4" w:space="0"/>
              <w:bottom w:val="single" w:color="auto" w:sz="4" w:space="0"/>
              <w:right w:val="single" w:color="auto" w:sz="4" w:space="0"/>
            </w:tcBorders>
            <w:noWrap w:val="0"/>
            <w:vAlign w:val="center"/>
          </w:tcPr>
          <w:p w14:paraId="0F2F4721">
            <w:pPr>
              <w:rPr>
                <w:rFonts w:hint="eastAsia" w:ascii="宋体" w:hAnsi="宋体" w:eastAsia="宋体" w:cs="宋体"/>
                <w:b w:val="0"/>
                <w:bCs w:val="0"/>
                <w:sz w:val="22"/>
                <w:szCs w:val="22"/>
                <w:highlight w:val="none"/>
              </w:rPr>
            </w:pPr>
          </w:p>
        </w:tc>
        <w:tc>
          <w:tcPr>
            <w:tcW w:w="1237" w:type="dxa"/>
            <w:tcBorders>
              <w:top w:val="nil"/>
              <w:left w:val="nil"/>
              <w:bottom w:val="single" w:color="auto" w:sz="4" w:space="0"/>
              <w:right w:val="single" w:color="auto" w:sz="4" w:space="0"/>
            </w:tcBorders>
            <w:noWrap w:val="0"/>
            <w:vAlign w:val="center"/>
          </w:tcPr>
          <w:p w14:paraId="1120CB75">
            <w:pPr>
              <w:jc w:val="center"/>
              <w:rPr>
                <w:rFonts w:hint="eastAsia" w:ascii="宋体" w:hAnsi="宋体" w:eastAsia="宋体" w:cs="宋体"/>
                <w:b w:val="0"/>
                <w:bCs w:val="0"/>
                <w:color w:val="000000"/>
                <w:kern w:val="0"/>
                <w:sz w:val="22"/>
                <w:szCs w:val="22"/>
                <w:highlight w:val="none"/>
                <w:lang w:bidi="ar"/>
              </w:rPr>
            </w:pPr>
            <w:r>
              <w:rPr>
                <w:rFonts w:hint="eastAsia" w:ascii="宋体" w:hAnsi="宋体" w:eastAsia="宋体" w:cs="宋体"/>
                <w:b w:val="0"/>
                <w:bCs w:val="0"/>
                <w:color w:val="000000"/>
                <w:kern w:val="0"/>
                <w:sz w:val="22"/>
                <w:szCs w:val="22"/>
                <w:highlight w:val="none"/>
                <w:lang w:bidi="ar"/>
              </w:rPr>
              <w:t>文档提供</w:t>
            </w:r>
          </w:p>
        </w:tc>
        <w:tc>
          <w:tcPr>
            <w:tcW w:w="3840" w:type="dxa"/>
            <w:tcBorders>
              <w:top w:val="nil"/>
              <w:left w:val="nil"/>
              <w:bottom w:val="single" w:color="auto" w:sz="4" w:space="0"/>
              <w:right w:val="single" w:color="auto" w:sz="4" w:space="0"/>
            </w:tcBorders>
            <w:noWrap w:val="0"/>
            <w:vAlign w:val="center"/>
          </w:tcPr>
          <w:p w14:paraId="37E68751">
            <w:pPr>
              <w:rPr>
                <w:rFonts w:hint="eastAsia" w:ascii="宋体" w:hAnsi="宋体" w:eastAsia="宋体" w:cs="宋体"/>
                <w:b w:val="0"/>
                <w:bCs w:val="0"/>
                <w:color w:val="000000"/>
                <w:kern w:val="0"/>
                <w:sz w:val="22"/>
                <w:szCs w:val="22"/>
                <w:highlight w:val="none"/>
                <w:lang w:bidi="ar"/>
              </w:rPr>
            </w:pPr>
            <w:r>
              <w:rPr>
                <w:rFonts w:hint="eastAsia" w:ascii="宋体" w:hAnsi="宋体" w:eastAsia="宋体" w:cs="宋体"/>
                <w:b w:val="0"/>
                <w:bCs w:val="0"/>
                <w:color w:val="000000"/>
                <w:sz w:val="22"/>
                <w:szCs w:val="22"/>
                <w:highlight w:val="none"/>
                <w:lang w:bidi="ar"/>
              </w:rPr>
              <w:t>按季提供运维季报，内容包括运维明细、重点问题梳理（包含说明）和知识条目（参照百科格式标准）等</w:t>
            </w:r>
          </w:p>
        </w:tc>
        <w:tc>
          <w:tcPr>
            <w:tcW w:w="3776" w:type="dxa"/>
            <w:tcBorders>
              <w:top w:val="nil"/>
              <w:left w:val="nil"/>
              <w:bottom w:val="single" w:color="auto" w:sz="4" w:space="0"/>
              <w:right w:val="single" w:color="auto" w:sz="4" w:space="0"/>
            </w:tcBorders>
            <w:noWrap w:val="0"/>
            <w:vAlign w:val="center"/>
          </w:tcPr>
          <w:p w14:paraId="02525F87">
            <w:pPr>
              <w:rPr>
                <w:rFonts w:hint="eastAsia" w:ascii="宋体" w:hAnsi="宋体" w:eastAsia="宋体" w:cs="宋体"/>
                <w:b w:val="0"/>
                <w:bCs w:val="0"/>
                <w:color w:val="000000"/>
                <w:kern w:val="0"/>
                <w:sz w:val="22"/>
                <w:szCs w:val="22"/>
                <w:highlight w:val="none"/>
                <w:lang w:bidi="ar"/>
              </w:rPr>
            </w:pPr>
            <w:r>
              <w:rPr>
                <w:rFonts w:hint="eastAsia" w:ascii="宋体" w:hAnsi="宋体" w:eastAsia="宋体" w:cs="宋体"/>
                <w:b w:val="0"/>
                <w:bCs w:val="0"/>
                <w:color w:val="000000"/>
                <w:kern w:val="0"/>
                <w:sz w:val="22"/>
                <w:szCs w:val="22"/>
                <w:highlight w:val="none"/>
                <w:lang w:bidi="ar"/>
              </w:rPr>
              <w:t>季报缺1次扣2分，内容不达标或缺项一次扣1分</w:t>
            </w:r>
          </w:p>
        </w:tc>
      </w:tr>
      <w:tr w14:paraId="0982F73E">
        <w:tblPrEx>
          <w:tblCellMar>
            <w:top w:w="0" w:type="dxa"/>
            <w:left w:w="108" w:type="dxa"/>
            <w:bottom w:w="0" w:type="dxa"/>
            <w:right w:w="108" w:type="dxa"/>
          </w:tblCellMar>
        </w:tblPrEx>
        <w:trPr>
          <w:trHeight w:val="567" w:hRule="atLeast"/>
          <w:jc w:val="center"/>
        </w:trPr>
        <w:tc>
          <w:tcPr>
            <w:tcW w:w="983" w:type="dxa"/>
            <w:vMerge w:val="restart"/>
            <w:tcBorders>
              <w:top w:val="single" w:color="auto" w:sz="4" w:space="0"/>
              <w:left w:val="single" w:color="auto" w:sz="4" w:space="0"/>
              <w:bottom w:val="single" w:color="auto" w:sz="4" w:space="0"/>
              <w:right w:val="single" w:color="auto" w:sz="4" w:space="0"/>
            </w:tcBorders>
            <w:noWrap w:val="0"/>
            <w:vAlign w:val="center"/>
          </w:tcPr>
          <w:p w14:paraId="6566C0D8">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重大</w:t>
            </w:r>
            <w:r>
              <w:rPr>
                <w:rFonts w:hint="eastAsia" w:ascii="宋体" w:hAnsi="宋体" w:eastAsia="宋体" w:cs="宋体"/>
                <w:b w:val="0"/>
                <w:bCs w:val="0"/>
                <w:color w:val="000000"/>
                <w:kern w:val="0"/>
                <w:sz w:val="22"/>
                <w:szCs w:val="22"/>
                <w:highlight w:val="none"/>
                <w:lang w:bidi="ar"/>
              </w:rPr>
              <w:br w:type="textWrapping"/>
            </w:r>
            <w:r>
              <w:rPr>
                <w:rFonts w:hint="eastAsia" w:ascii="宋体" w:hAnsi="宋体" w:eastAsia="宋体" w:cs="宋体"/>
                <w:b w:val="0"/>
                <w:bCs w:val="0"/>
                <w:color w:val="000000"/>
                <w:kern w:val="0"/>
                <w:sz w:val="22"/>
                <w:szCs w:val="22"/>
                <w:highlight w:val="none"/>
                <w:lang w:bidi="ar"/>
              </w:rPr>
              <w:t>事项</w:t>
            </w:r>
          </w:p>
        </w:tc>
        <w:tc>
          <w:tcPr>
            <w:tcW w:w="1237" w:type="dxa"/>
            <w:tcBorders>
              <w:top w:val="nil"/>
              <w:left w:val="nil"/>
              <w:bottom w:val="single" w:color="auto" w:sz="4" w:space="0"/>
              <w:right w:val="single" w:color="auto" w:sz="4" w:space="0"/>
            </w:tcBorders>
            <w:noWrap w:val="0"/>
            <w:vAlign w:val="center"/>
          </w:tcPr>
          <w:p w14:paraId="6E52B88F">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投诉</w:t>
            </w:r>
          </w:p>
        </w:tc>
        <w:tc>
          <w:tcPr>
            <w:tcW w:w="3840" w:type="dxa"/>
            <w:tcBorders>
              <w:top w:val="nil"/>
              <w:left w:val="nil"/>
              <w:bottom w:val="single" w:color="auto" w:sz="4" w:space="0"/>
              <w:right w:val="single" w:color="auto" w:sz="4" w:space="0"/>
            </w:tcBorders>
            <w:noWrap w:val="0"/>
            <w:vAlign w:val="center"/>
          </w:tcPr>
          <w:p w14:paraId="786BFE0E">
            <w:pPr>
              <w:rPr>
                <w:rFonts w:hint="eastAsia" w:ascii="宋体" w:hAnsi="宋体" w:eastAsia="宋体" w:cs="宋体"/>
                <w:b w:val="0"/>
                <w:bCs w:val="0"/>
                <w:color w:val="000000"/>
                <w:kern w:val="0"/>
                <w:sz w:val="22"/>
                <w:szCs w:val="22"/>
                <w:highlight w:val="none"/>
              </w:rPr>
            </w:pPr>
            <w:r>
              <w:rPr>
                <w:rFonts w:hint="eastAsia" w:ascii="宋体" w:hAnsi="宋体" w:cs="宋体"/>
                <w:b w:val="0"/>
                <w:bCs w:val="0"/>
                <w:color w:val="000000"/>
                <w:kern w:val="0"/>
                <w:sz w:val="22"/>
                <w:szCs w:val="22"/>
                <w:highlight w:val="none"/>
                <w:lang w:eastAsia="zh-CN" w:bidi="ar"/>
              </w:rPr>
              <w:t>对</w:t>
            </w:r>
            <w:r>
              <w:rPr>
                <w:rFonts w:hint="eastAsia" w:ascii="宋体" w:hAnsi="宋体" w:eastAsia="宋体" w:cs="宋体"/>
                <w:b w:val="0"/>
                <w:bCs w:val="0"/>
                <w:color w:val="000000"/>
                <w:kern w:val="0"/>
                <w:sz w:val="22"/>
                <w:szCs w:val="22"/>
                <w:highlight w:val="none"/>
                <w:lang w:bidi="ar"/>
              </w:rPr>
              <w:t>每个投诉进行核查后根据情况进行扣分</w:t>
            </w:r>
          </w:p>
        </w:tc>
        <w:tc>
          <w:tcPr>
            <w:tcW w:w="3776" w:type="dxa"/>
            <w:tcBorders>
              <w:top w:val="nil"/>
              <w:left w:val="nil"/>
              <w:bottom w:val="single" w:color="auto" w:sz="4" w:space="0"/>
              <w:right w:val="single" w:color="auto" w:sz="4" w:space="0"/>
            </w:tcBorders>
            <w:noWrap w:val="0"/>
            <w:vAlign w:val="center"/>
          </w:tcPr>
          <w:p w14:paraId="6A9B5429">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根据情况扣分</w:t>
            </w:r>
          </w:p>
        </w:tc>
      </w:tr>
      <w:tr w14:paraId="27457383">
        <w:tblPrEx>
          <w:tblCellMar>
            <w:top w:w="0" w:type="dxa"/>
            <w:left w:w="108" w:type="dxa"/>
            <w:bottom w:w="0" w:type="dxa"/>
            <w:right w:w="108" w:type="dxa"/>
          </w:tblCellMar>
        </w:tblPrEx>
        <w:trPr>
          <w:trHeight w:val="567" w:hRule="atLeast"/>
          <w:jc w:val="center"/>
        </w:trPr>
        <w:tc>
          <w:tcPr>
            <w:tcW w:w="983" w:type="dxa"/>
            <w:vMerge w:val="continue"/>
            <w:tcBorders>
              <w:top w:val="single" w:color="auto" w:sz="4" w:space="0"/>
              <w:left w:val="single" w:color="auto" w:sz="4" w:space="0"/>
              <w:bottom w:val="single" w:color="auto" w:sz="4" w:space="0"/>
              <w:right w:val="single" w:color="auto" w:sz="4" w:space="0"/>
            </w:tcBorders>
            <w:noWrap w:val="0"/>
            <w:vAlign w:val="center"/>
          </w:tcPr>
          <w:p w14:paraId="29BA7F1F">
            <w:pPr>
              <w:rPr>
                <w:rFonts w:hint="eastAsia" w:ascii="宋体" w:hAnsi="宋体" w:eastAsia="宋体" w:cs="宋体"/>
                <w:b w:val="0"/>
                <w:bCs w:val="0"/>
                <w:sz w:val="22"/>
                <w:szCs w:val="22"/>
                <w:highlight w:val="none"/>
              </w:rPr>
            </w:pPr>
          </w:p>
        </w:tc>
        <w:tc>
          <w:tcPr>
            <w:tcW w:w="1237" w:type="dxa"/>
            <w:tcBorders>
              <w:top w:val="nil"/>
              <w:left w:val="nil"/>
              <w:bottom w:val="single" w:color="auto" w:sz="4" w:space="0"/>
              <w:right w:val="single" w:color="auto" w:sz="4" w:space="0"/>
            </w:tcBorders>
            <w:noWrap w:val="0"/>
            <w:vAlign w:val="center"/>
          </w:tcPr>
          <w:p w14:paraId="59473EBA">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重大事故</w:t>
            </w:r>
          </w:p>
        </w:tc>
        <w:tc>
          <w:tcPr>
            <w:tcW w:w="3840" w:type="dxa"/>
            <w:tcBorders>
              <w:top w:val="nil"/>
              <w:left w:val="nil"/>
              <w:bottom w:val="single" w:color="auto" w:sz="4" w:space="0"/>
              <w:right w:val="single" w:color="auto" w:sz="4" w:space="0"/>
            </w:tcBorders>
            <w:noWrap w:val="0"/>
            <w:vAlign w:val="center"/>
          </w:tcPr>
          <w:p w14:paraId="1E3BCB6D">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如出现重大运维事故或者出现信息安全风险的直接扣分</w:t>
            </w:r>
          </w:p>
        </w:tc>
        <w:tc>
          <w:tcPr>
            <w:tcW w:w="3776" w:type="dxa"/>
            <w:tcBorders>
              <w:top w:val="nil"/>
              <w:left w:val="nil"/>
              <w:bottom w:val="single" w:color="auto" w:sz="4" w:space="0"/>
              <w:right w:val="single" w:color="auto" w:sz="4" w:space="0"/>
            </w:tcBorders>
            <w:noWrap w:val="0"/>
            <w:vAlign w:val="center"/>
          </w:tcPr>
          <w:p w14:paraId="664FB867">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根据情况扣分</w:t>
            </w:r>
          </w:p>
        </w:tc>
      </w:tr>
      <w:tr w14:paraId="0848C8B3">
        <w:tblPrEx>
          <w:tblCellMar>
            <w:top w:w="0" w:type="dxa"/>
            <w:left w:w="108" w:type="dxa"/>
            <w:bottom w:w="0" w:type="dxa"/>
            <w:right w:w="108" w:type="dxa"/>
          </w:tblCellMar>
        </w:tblPrEx>
        <w:trPr>
          <w:trHeight w:val="567" w:hRule="atLeast"/>
          <w:jc w:val="center"/>
        </w:trPr>
        <w:tc>
          <w:tcPr>
            <w:tcW w:w="983" w:type="dxa"/>
            <w:tcBorders>
              <w:top w:val="single" w:color="auto" w:sz="4" w:space="0"/>
              <w:left w:val="single" w:color="auto" w:sz="4" w:space="0"/>
              <w:bottom w:val="single" w:color="auto" w:sz="4" w:space="0"/>
              <w:right w:val="single" w:color="auto" w:sz="4" w:space="0"/>
            </w:tcBorders>
            <w:noWrap w:val="0"/>
            <w:vAlign w:val="center"/>
          </w:tcPr>
          <w:p w14:paraId="4DF348EB">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加分</w:t>
            </w:r>
          </w:p>
        </w:tc>
        <w:tc>
          <w:tcPr>
            <w:tcW w:w="1237" w:type="dxa"/>
            <w:tcBorders>
              <w:top w:val="nil"/>
              <w:left w:val="nil"/>
              <w:bottom w:val="single" w:color="auto" w:sz="4" w:space="0"/>
              <w:right w:val="single" w:color="auto" w:sz="4" w:space="0"/>
            </w:tcBorders>
            <w:noWrap w:val="0"/>
            <w:vAlign w:val="center"/>
          </w:tcPr>
          <w:p w14:paraId="160E92CD">
            <w:pPr>
              <w:jc w:val="cente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知识库</w:t>
            </w:r>
          </w:p>
        </w:tc>
        <w:tc>
          <w:tcPr>
            <w:tcW w:w="3840" w:type="dxa"/>
            <w:tcBorders>
              <w:top w:val="nil"/>
              <w:left w:val="nil"/>
              <w:bottom w:val="single" w:color="auto" w:sz="4" w:space="0"/>
              <w:right w:val="single" w:color="auto" w:sz="4" w:space="0"/>
            </w:tcBorders>
            <w:noWrap w:val="0"/>
            <w:vAlign w:val="center"/>
          </w:tcPr>
          <w:p w14:paraId="171883D7">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提供知识条目，由业主单位审核后录用</w:t>
            </w:r>
          </w:p>
        </w:tc>
        <w:tc>
          <w:tcPr>
            <w:tcW w:w="3776" w:type="dxa"/>
            <w:tcBorders>
              <w:top w:val="nil"/>
              <w:left w:val="nil"/>
              <w:bottom w:val="single" w:color="auto" w:sz="4" w:space="0"/>
              <w:right w:val="single" w:color="auto" w:sz="4" w:space="0"/>
            </w:tcBorders>
            <w:noWrap w:val="0"/>
            <w:vAlign w:val="center"/>
          </w:tcPr>
          <w:p w14:paraId="1B0974F6">
            <w:pPr>
              <w:rPr>
                <w:rFonts w:hint="eastAsia" w:ascii="宋体" w:hAnsi="宋体" w:eastAsia="宋体" w:cs="宋体"/>
                <w:b w:val="0"/>
                <w:bCs w:val="0"/>
                <w:color w:val="000000"/>
                <w:kern w:val="0"/>
                <w:sz w:val="22"/>
                <w:szCs w:val="22"/>
                <w:highlight w:val="none"/>
              </w:rPr>
            </w:pPr>
            <w:r>
              <w:rPr>
                <w:rFonts w:hint="eastAsia" w:ascii="宋体" w:hAnsi="宋体" w:eastAsia="宋体" w:cs="宋体"/>
                <w:b w:val="0"/>
                <w:bCs w:val="0"/>
                <w:color w:val="000000"/>
                <w:kern w:val="0"/>
                <w:sz w:val="22"/>
                <w:szCs w:val="22"/>
                <w:highlight w:val="none"/>
                <w:lang w:bidi="ar"/>
              </w:rPr>
              <w:t>超额提供知识条目，经审核录用的，每条加0.5分</w:t>
            </w:r>
          </w:p>
        </w:tc>
      </w:tr>
    </w:tbl>
    <w:p w14:paraId="69D0FB5A">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根据最终得分将考核结果分为四档：满意（90</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rPr>
        <w:t>含）-100分）；比较满意（80</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rPr>
        <w:t>含）-90）；一般（70（含）-80分）；不满意（70分以下）。</w:t>
      </w:r>
    </w:p>
    <w:p w14:paraId="79AA6E78">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考核结果为满意的，按合同金额100%结算费用；考核结果为比较满意的，按合同金额90%结算费用；考核结果为一般的，按合同金额80%结算费用；考核结果为不满意的，按合同金额70%结算费用。</w:t>
      </w:r>
    </w:p>
    <w:p w14:paraId="75861987">
      <w:pPr>
        <w:widowControl/>
        <w:autoSpaceDE w:val="0"/>
        <w:autoSpaceDN w:val="0"/>
        <w:adjustRightInd w:val="0"/>
        <w:snapToGrid w:val="0"/>
        <w:spacing w:line="460" w:lineRule="atLeast"/>
        <w:textAlignment w:val="bottom"/>
        <w:rPr>
          <w:rFonts w:hint="eastAsia" w:ascii="宋体" w:eastAsia="宋体"/>
          <w:color w:val="auto"/>
          <w:sz w:val="22"/>
          <w:szCs w:val="22"/>
        </w:rPr>
      </w:pPr>
      <w:r>
        <w:rPr>
          <w:rFonts w:hint="eastAsia" w:ascii="宋体" w:eastAsia="宋体"/>
          <w:color w:val="auto"/>
          <w:sz w:val="22"/>
          <w:szCs w:val="22"/>
        </w:rPr>
        <w:t>三、商务条款</w:t>
      </w:r>
    </w:p>
    <w:p w14:paraId="312C6A63">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1、报价：</w:t>
      </w:r>
    </w:p>
    <w:p w14:paraId="0810135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1.1</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rPr>
        <w:t>本项目采用固定总价承包。供应商的报价应为承包完成本次投标需完成全部工作所发生的所有费用，并承担一切风险责任。报价包括人员服务费、保险费、装卸费、技术服务费、培训费（如提供）、税金及政策性文件规定及合同包含的所有风险、责任等各项全部费用。</w:t>
      </w:r>
    </w:p>
    <w:p w14:paraId="2F64C731">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1.2</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rPr>
        <w:t>供应商的成交价格在合同实施期间不作调整，成交供应商不得以任何理由予以变更。</w:t>
      </w:r>
    </w:p>
    <w:p w14:paraId="25C58FF0">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1.</w:t>
      </w:r>
      <w:r>
        <w:rPr>
          <w:rFonts w:hint="eastAsia" w:ascii="宋体" w:hAnsi="宋体" w:eastAsia="宋体" w:cs="宋体"/>
          <w:b w:val="0"/>
          <w:bCs/>
          <w:color w:val="auto"/>
          <w:sz w:val="22"/>
          <w:szCs w:val="22"/>
          <w:lang w:val="en-US" w:eastAsia="zh-CN"/>
        </w:rPr>
        <w:t>3.</w:t>
      </w:r>
      <w:r>
        <w:rPr>
          <w:rFonts w:hint="eastAsia" w:ascii="宋体" w:hAnsi="宋体" w:eastAsia="宋体" w:cs="宋体"/>
          <w:b w:val="0"/>
          <w:bCs/>
          <w:color w:val="auto"/>
          <w:sz w:val="22"/>
          <w:szCs w:val="22"/>
        </w:rPr>
        <w:t>允许供应商在满足采购文件提出的技术要求的前提下，在报价价格不增加且能扩大使用功能的前提下，可提出合理化建议，做出其优越性、先进性等详细说明。</w:t>
      </w:r>
    </w:p>
    <w:p w14:paraId="55A6AB37">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1.</w:t>
      </w:r>
      <w:r>
        <w:rPr>
          <w:rFonts w:hint="eastAsia" w:ascii="宋体" w:hAnsi="宋体" w:eastAsia="宋体" w:cs="宋体"/>
          <w:b w:val="0"/>
          <w:bCs/>
          <w:color w:val="auto"/>
          <w:sz w:val="22"/>
          <w:szCs w:val="22"/>
          <w:lang w:val="en-US" w:eastAsia="zh-CN"/>
        </w:rPr>
        <w:t>4.</w:t>
      </w:r>
      <w:r>
        <w:rPr>
          <w:rFonts w:hint="eastAsia" w:ascii="宋体" w:hAnsi="宋体" w:eastAsia="宋体" w:cs="宋体"/>
          <w:b w:val="0"/>
          <w:bCs/>
          <w:color w:val="auto"/>
          <w:sz w:val="22"/>
          <w:szCs w:val="22"/>
        </w:rPr>
        <w:t>供应商应结合本项目特点，市场行情及供应商自身的技术，管理水平，竞争能力，提供给采购人最优惠的报价。</w:t>
      </w:r>
    </w:p>
    <w:p w14:paraId="6CF2819A">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2、</w:t>
      </w:r>
      <w:r>
        <w:rPr>
          <w:rFonts w:hint="eastAsia" w:ascii="宋体" w:hAnsi="宋体" w:eastAsia="宋体" w:cs="宋体"/>
          <w:b w:val="0"/>
          <w:bCs/>
          <w:color w:val="auto"/>
          <w:sz w:val="22"/>
          <w:szCs w:val="22"/>
          <w:lang w:eastAsia="zh-CN"/>
        </w:rPr>
        <w:t>运维</w:t>
      </w:r>
      <w:r>
        <w:rPr>
          <w:rFonts w:hint="eastAsia" w:ascii="宋体" w:hAnsi="宋体" w:eastAsia="宋体" w:cs="宋体"/>
          <w:b w:val="0"/>
          <w:bCs/>
          <w:color w:val="auto"/>
          <w:sz w:val="22"/>
          <w:szCs w:val="22"/>
        </w:rPr>
        <w:t>地点</w:t>
      </w:r>
    </w:p>
    <w:p w14:paraId="1CBE56DE">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2.1</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lang w:eastAsia="zh-CN"/>
        </w:rPr>
        <w:t>运维</w:t>
      </w:r>
      <w:r>
        <w:rPr>
          <w:rFonts w:hint="eastAsia" w:ascii="宋体" w:hAnsi="宋体" w:eastAsia="宋体" w:cs="宋体"/>
          <w:b w:val="0"/>
          <w:bCs/>
          <w:color w:val="auto"/>
          <w:sz w:val="22"/>
          <w:szCs w:val="22"/>
        </w:rPr>
        <w:t>地点：业主指定地点。</w:t>
      </w:r>
    </w:p>
    <w:p w14:paraId="39974578">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3、验收标准：</w:t>
      </w:r>
    </w:p>
    <w:p w14:paraId="120BD18A">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3.1</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rPr>
        <w:t>产品验收的质量、技术标准按</w:t>
      </w:r>
      <w:r>
        <w:rPr>
          <w:rFonts w:hint="eastAsia" w:ascii="宋体" w:hAnsi="宋体" w:eastAsia="宋体" w:cs="宋体"/>
          <w:b w:val="0"/>
          <w:bCs/>
          <w:color w:val="auto"/>
          <w:sz w:val="22"/>
          <w:szCs w:val="22"/>
          <w:lang w:eastAsia="zh-CN"/>
        </w:rPr>
        <w:t>采购文件</w:t>
      </w:r>
      <w:r>
        <w:rPr>
          <w:rFonts w:hint="eastAsia" w:ascii="宋体" w:hAnsi="宋体" w:eastAsia="宋体" w:cs="宋体"/>
          <w:b w:val="0"/>
          <w:bCs/>
          <w:color w:val="auto"/>
          <w:sz w:val="22"/>
          <w:szCs w:val="22"/>
        </w:rPr>
        <w:t>和投标文件，并满足国家、行业最新标准。</w:t>
      </w:r>
    </w:p>
    <w:p w14:paraId="226A7C43">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3.2</w:t>
      </w:r>
      <w:r>
        <w:rPr>
          <w:rFonts w:hint="eastAsia" w:ascii="宋体" w:hAnsi="宋体" w:eastAsia="宋体" w:cs="宋体"/>
          <w:b w:val="0"/>
          <w:bCs/>
          <w:color w:val="auto"/>
          <w:sz w:val="22"/>
          <w:szCs w:val="22"/>
          <w:lang w:val="en-US" w:eastAsia="zh-CN"/>
        </w:rPr>
        <w:t>.</w:t>
      </w:r>
      <w:r>
        <w:rPr>
          <w:rFonts w:hint="eastAsia" w:ascii="宋体" w:hAnsi="宋体" w:eastAsia="宋体" w:cs="宋体"/>
          <w:b w:val="0"/>
          <w:bCs/>
          <w:color w:val="auto"/>
          <w:sz w:val="22"/>
          <w:szCs w:val="22"/>
        </w:rPr>
        <w:t>验收结果符合合同要求。</w:t>
      </w:r>
    </w:p>
    <w:p w14:paraId="385E3AAB">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在进行验收过程中发生的故障和隐患已被排除并得到采购人的认可。</w:t>
      </w:r>
    </w:p>
    <w:p w14:paraId="382BBCA0">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所有合同中规定的资料都已提交。</w:t>
      </w:r>
    </w:p>
    <w:p w14:paraId="2108491F">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 xml:space="preserve">4、技术资料： </w:t>
      </w:r>
    </w:p>
    <w:p w14:paraId="51713492">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rPr>
      </w:pPr>
      <w:r>
        <w:rPr>
          <w:rFonts w:hint="eastAsia" w:ascii="宋体" w:hAnsi="宋体" w:eastAsia="宋体" w:cs="宋体"/>
          <w:b w:val="0"/>
          <w:bCs/>
          <w:color w:val="auto"/>
          <w:sz w:val="22"/>
          <w:szCs w:val="22"/>
        </w:rPr>
        <w:t>供应商应定期向采购人提供下列文件：</w:t>
      </w:r>
    </w:p>
    <w:p w14:paraId="21E8F2DE">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rPr>
        <w:t>1）例行检查维护保养报告</w:t>
      </w:r>
      <w:r>
        <w:rPr>
          <w:rFonts w:hint="eastAsia" w:ascii="宋体" w:hAnsi="宋体" w:eastAsia="宋体" w:cs="宋体"/>
          <w:b w:val="0"/>
          <w:bCs/>
          <w:color w:val="auto"/>
          <w:sz w:val="22"/>
          <w:szCs w:val="22"/>
          <w:lang w:val="en-US" w:eastAsia="zh-CN"/>
        </w:rPr>
        <w:t>；</w:t>
      </w:r>
    </w:p>
    <w:p w14:paraId="1992DC87">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rPr>
        <w:t>2）样式性能分析报告和系统优化建议书</w:t>
      </w:r>
      <w:r>
        <w:rPr>
          <w:rFonts w:hint="eastAsia" w:ascii="宋体" w:hAnsi="宋体" w:eastAsia="宋体" w:cs="宋体"/>
          <w:b w:val="0"/>
          <w:bCs/>
          <w:color w:val="auto"/>
          <w:sz w:val="22"/>
          <w:szCs w:val="22"/>
          <w:lang w:val="en-US" w:eastAsia="zh-CN"/>
        </w:rPr>
        <w:t>；</w:t>
      </w:r>
    </w:p>
    <w:p w14:paraId="4DA0CCDC">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rPr>
        <w:t>3）故障分析报告样式等</w:t>
      </w:r>
      <w:r>
        <w:rPr>
          <w:rFonts w:hint="eastAsia" w:ascii="宋体" w:hAnsi="宋体" w:eastAsia="宋体" w:cs="宋体"/>
          <w:b w:val="0"/>
          <w:bCs/>
          <w:color w:val="auto"/>
          <w:sz w:val="22"/>
          <w:szCs w:val="22"/>
          <w:lang w:val="en-US" w:eastAsia="zh-CN"/>
        </w:rPr>
        <w:t>；</w:t>
      </w:r>
    </w:p>
    <w:p w14:paraId="60ED0335">
      <w:pPr>
        <w:widowControl/>
        <w:autoSpaceDE w:val="0"/>
        <w:autoSpaceDN w:val="0"/>
        <w:adjustRightInd w:val="0"/>
        <w:snapToGrid w:val="0"/>
        <w:spacing w:line="460" w:lineRule="atLeast"/>
        <w:ind w:firstLine="440" w:firstLineChars="200"/>
        <w:textAlignment w:val="bottom"/>
        <w:rPr>
          <w:rFonts w:hint="eastAsia" w:ascii="宋体" w:hAnsi="宋体" w:eastAsia="宋体" w:cs="宋体"/>
          <w:b w:val="0"/>
          <w:bCs/>
          <w:color w:val="auto"/>
          <w:sz w:val="22"/>
          <w:szCs w:val="22"/>
          <w:lang w:eastAsia="zh-CN"/>
        </w:rPr>
      </w:pPr>
      <w:r>
        <w:rPr>
          <w:rFonts w:hint="eastAsia" w:ascii="宋体" w:hAnsi="宋体" w:eastAsia="宋体" w:cs="宋体"/>
          <w:b w:val="0"/>
          <w:bCs/>
          <w:color w:val="auto"/>
          <w:sz w:val="22"/>
          <w:szCs w:val="22"/>
        </w:rPr>
        <w:t>4）按有关标准、规程规定应提交的技术文件、资料</w:t>
      </w:r>
      <w:r>
        <w:rPr>
          <w:rFonts w:hint="eastAsia" w:ascii="宋体" w:hAnsi="宋体" w:eastAsia="宋体" w:cs="宋体"/>
          <w:b w:val="0"/>
          <w:bCs/>
          <w:color w:val="auto"/>
          <w:sz w:val="22"/>
          <w:szCs w:val="22"/>
          <w:lang w:val="en-US" w:eastAsia="zh-CN"/>
        </w:rPr>
        <w:t>；</w:t>
      </w:r>
    </w:p>
    <w:p w14:paraId="0F83460C">
      <w:pPr>
        <w:autoSpaceDE w:val="0"/>
        <w:autoSpaceDN w:val="0"/>
        <w:adjustRightInd w:val="0"/>
        <w:spacing w:line="460" w:lineRule="atLeast"/>
        <w:ind w:left="21" w:leftChars="10" w:right="525" w:rightChars="250" w:firstLine="442" w:firstLineChars="200"/>
        <w:textAlignment w:val="bottom"/>
        <w:rPr>
          <w:rFonts w:hint="eastAsia" w:ascii="宋体" w:eastAsia="宋体"/>
          <w:sz w:val="22"/>
          <w:szCs w:val="22"/>
        </w:rPr>
      </w:pPr>
      <w:r>
        <w:rPr>
          <w:rFonts w:hint="eastAsia" w:ascii="宋体" w:eastAsia="宋体"/>
          <w:sz w:val="22"/>
          <w:szCs w:val="22"/>
        </w:rPr>
        <w:t>5、服务考核和结算方式：</w:t>
      </w:r>
    </w:p>
    <w:p w14:paraId="0EBF2DDC">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u w:val="single"/>
          <w:lang w:val="zh-CN"/>
        </w:rPr>
      </w:pPr>
      <w:r>
        <w:rPr>
          <w:rFonts w:hint="eastAsia" w:ascii="宋体" w:hAnsi="宋体" w:eastAsia="宋体" w:cs="宋体"/>
          <w:b/>
          <w:bCs w:val="0"/>
          <w:color w:val="auto"/>
          <w:sz w:val="22"/>
          <w:szCs w:val="22"/>
          <w:u w:val="single"/>
          <w:lang w:val="zh-CN"/>
        </w:rPr>
        <w:t>5.1.合同签订生效以及具备实施条件后(待财政资金到位后)，</w:t>
      </w:r>
      <w:r>
        <w:rPr>
          <w:rFonts w:hint="eastAsia" w:ascii="宋体" w:hAnsi="宋体" w:eastAsia="宋体" w:cs="宋体"/>
          <w:b/>
          <w:bCs w:val="0"/>
          <w:color w:val="auto"/>
          <w:sz w:val="22"/>
          <w:szCs w:val="22"/>
          <w:u w:val="single"/>
          <w:lang w:val="en-US" w:eastAsia="zh-CN"/>
        </w:rPr>
        <w:t>采购人</w:t>
      </w:r>
      <w:r>
        <w:rPr>
          <w:rFonts w:hint="eastAsia" w:ascii="宋体" w:hAnsi="宋体" w:eastAsia="宋体" w:cs="宋体"/>
          <w:b/>
          <w:bCs w:val="0"/>
          <w:color w:val="auto"/>
          <w:sz w:val="22"/>
          <w:szCs w:val="22"/>
          <w:u w:val="single"/>
          <w:lang w:val="zh-CN"/>
        </w:rPr>
        <w:t>支付本合同金额的50%给</w:t>
      </w:r>
      <w:r>
        <w:rPr>
          <w:rFonts w:hint="eastAsia" w:ascii="宋体" w:hAnsi="宋体" w:eastAsia="宋体" w:cs="宋体"/>
          <w:b/>
          <w:bCs w:val="0"/>
          <w:color w:val="auto"/>
          <w:sz w:val="22"/>
          <w:szCs w:val="22"/>
          <w:u w:val="single"/>
          <w:lang w:val="en-US" w:eastAsia="zh-CN"/>
        </w:rPr>
        <w:t>成交供应商</w:t>
      </w:r>
      <w:r>
        <w:rPr>
          <w:rFonts w:hint="eastAsia" w:ascii="宋体" w:hAnsi="宋体" w:eastAsia="宋体" w:cs="宋体"/>
          <w:b/>
          <w:bCs w:val="0"/>
          <w:color w:val="auto"/>
          <w:sz w:val="22"/>
          <w:szCs w:val="22"/>
          <w:u w:val="single"/>
          <w:lang w:val="zh-CN"/>
        </w:rPr>
        <w:t>作为预付款。</w:t>
      </w:r>
    </w:p>
    <w:p w14:paraId="40863DFA">
      <w:pPr>
        <w:widowControl/>
        <w:autoSpaceDE w:val="0"/>
        <w:autoSpaceDN w:val="0"/>
        <w:adjustRightInd w:val="0"/>
        <w:snapToGrid w:val="0"/>
        <w:spacing w:line="460" w:lineRule="atLeast"/>
        <w:ind w:firstLine="442" w:firstLineChars="200"/>
        <w:textAlignment w:val="bottom"/>
        <w:rPr>
          <w:rFonts w:hint="eastAsia" w:ascii="宋体" w:hAnsi="宋体" w:eastAsia="宋体" w:cs="宋体"/>
          <w:b/>
          <w:bCs w:val="0"/>
          <w:color w:val="auto"/>
          <w:sz w:val="22"/>
          <w:szCs w:val="22"/>
          <w:u w:val="single"/>
          <w:lang w:val="zh-CN"/>
        </w:rPr>
      </w:pPr>
      <w:r>
        <w:rPr>
          <w:rFonts w:hint="eastAsia" w:ascii="宋体" w:hAnsi="宋体" w:eastAsia="宋体" w:cs="宋体"/>
          <w:b/>
          <w:bCs w:val="0"/>
          <w:color w:val="auto"/>
          <w:sz w:val="22"/>
          <w:szCs w:val="22"/>
          <w:u w:val="single"/>
          <w:lang w:val="zh-CN"/>
        </w:rPr>
        <w:t>5.2.合同约定的服务期开始半年后考核结果为满意的，按合同金额50%结算费用;考核结果为比较满意的，按合同金额40%结算费用;考核结果为一般的，按合同金额30%结算费用;考核结果为不满意的，按合同金额10%结算费用。</w:t>
      </w:r>
    </w:p>
    <w:p w14:paraId="525FA76E">
      <w:pPr>
        <w:pStyle w:val="2"/>
        <w:rPr>
          <w:rFonts w:hint="eastAsia"/>
          <w:color w:val="auto"/>
          <w:lang w:val="zh-CN"/>
        </w:rPr>
      </w:pPr>
    </w:p>
    <w:p w14:paraId="5940C3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00D6"/>
    <w:multiLevelType w:val="singleLevel"/>
    <w:tmpl w:val="570D00D6"/>
    <w:lvl w:ilvl="0" w:tentative="0">
      <w:start w:val="3"/>
      <w:numFmt w:val="decimal"/>
      <w:suff w:val="nothing"/>
      <w:lvlText w:val="%1、"/>
      <w:lvlJc w:val="left"/>
    </w:lvl>
  </w:abstractNum>
  <w:abstractNum w:abstractNumId="1">
    <w:nsid w:val="58172003"/>
    <w:multiLevelType w:val="singleLevel"/>
    <w:tmpl w:val="58172003"/>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F0F47"/>
    <w:rsid w:val="1A1F0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宋体" w:eastAsia="仿宋_GB2312" w:cs="宋体"/>
      <w:b/>
      <w:bCs/>
      <w:color w:val="000000"/>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widowControl/>
      <w:ind w:firstLine="420"/>
      <w:jc w:val="left"/>
    </w:pPr>
    <w:rPr>
      <w:rFonts w:ascii="Times New Roman" w:hAnsi="Times New Roman"/>
      <w:kern w:val="0"/>
      <w:szCs w:val="20"/>
    </w:rPr>
  </w:style>
  <w:style w:type="paragraph" w:styleId="3">
    <w:name w:val="Body Text"/>
    <w:basedOn w:val="1"/>
    <w:next w:val="4"/>
    <w:uiPriority w:val="0"/>
    <w:pPr>
      <w:spacing w:after="120" w:afterLines="0"/>
    </w:pPr>
    <w:rPr>
      <w:rFonts w:ascii="Times New Roman" w:hAnsi="Times New Roman" w:eastAsia="宋体" w:cs="Times New Roman"/>
      <w:b w:val="0"/>
      <w:bCs w:val="0"/>
      <w:color w:val="auto"/>
      <w:kern w:val="2"/>
      <w:szCs w:val="24"/>
    </w:rPr>
  </w:style>
  <w:style w:type="paragraph" w:styleId="4">
    <w:name w:val="Body Text First Indent"/>
    <w:basedOn w:val="3"/>
    <w:qFormat/>
    <w:uiPriority w:val="0"/>
    <w:pPr>
      <w:tabs>
        <w:tab w:val="left" w:pos="482"/>
        <w:tab w:val="left" w:pos="2183"/>
        <w:tab w:val="left" w:pos="3884"/>
        <w:tab w:val="left" w:pos="5585"/>
      </w:tabs>
      <w:adjustRightInd w:val="0"/>
      <w:spacing w:after="0" w:afterLines="0"/>
      <w:ind w:firstLine="482"/>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2026-02-28T12:16:00Z</dcterms:created>
  <dc:creator>Tom</dc:creator>
  <cp:lastModifiedBy>Tom</cp:lastModifiedBy>
  <dcterms:modified xsi:type="dcterms:W3CDTF">2026-02-28T12:17:13Z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FFDBED72225D4FD285AB12E619F6D653_11</vt:lpwstr>
  </property>
  <property fmtid="{D5CDD505-2E9C-101B-9397-08002B2CF9AE}" pid="4" name="KSOTemplateDocerSaveRecord">
    <vt:lpwstr>eyJoZGlkIjoiNzQxMjVkMzQ2MmFmNzUyNDIwZTJlZjRmNWM0ZjMwZDkiLCJ1c2VySWQiOiIyNzk2NTYzMzgifQ==</vt:lpwstr>
  </property>
</Properties>
</file>