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A3DEDB">
      <w:pPr>
        <w:pStyle w:val="4"/>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采购需求</w:t>
      </w:r>
    </w:p>
    <w:p w14:paraId="27DC667D">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bCs w:val="0"/>
          <w:color w:val="auto"/>
          <w:sz w:val="22"/>
          <w:szCs w:val="22"/>
          <w:highlight w:val="none"/>
        </w:rPr>
      </w:pPr>
      <w:bookmarkStart w:id="0" w:name="_Toc23140"/>
      <w:bookmarkStart w:id="1" w:name="_Toc5876"/>
      <w:bookmarkStart w:id="2" w:name="_Toc6518"/>
      <w:r>
        <w:rPr>
          <w:rStyle w:val="10"/>
          <w:rFonts w:hint="eastAsia" w:ascii="宋体" w:hAnsi="宋体" w:eastAsia="宋体" w:cs="宋体"/>
          <w:b/>
          <w:color w:val="auto"/>
          <w:sz w:val="22"/>
          <w:szCs w:val="22"/>
          <w:highlight w:val="none"/>
          <w:u w:val="none"/>
          <w:lang w:val="en-US" w:eastAsia="zh-CN" w:bidi="ar-SA"/>
        </w:rPr>
        <w:t>一、</w:t>
      </w:r>
      <w:bookmarkEnd w:id="0"/>
      <w:bookmarkEnd w:id="1"/>
      <w:bookmarkEnd w:id="2"/>
      <w:bookmarkStart w:id="3" w:name="_Toc23122"/>
      <w:bookmarkStart w:id="4" w:name="_Toc10761"/>
      <w:bookmarkStart w:id="5" w:name="_Toc157"/>
      <w:r>
        <w:rPr>
          <w:rStyle w:val="10"/>
          <w:rFonts w:hint="eastAsia" w:ascii="宋体" w:hAnsi="宋体" w:eastAsia="宋体" w:cs="宋体"/>
          <w:b/>
          <w:bCs w:val="0"/>
          <w:color w:val="auto"/>
          <w:sz w:val="22"/>
          <w:szCs w:val="22"/>
          <w:highlight w:val="none"/>
        </w:rPr>
        <w:t>采购内容及要求</w:t>
      </w:r>
      <w:bookmarkEnd w:id="3"/>
      <w:bookmarkEnd w:id="4"/>
      <w:bookmarkEnd w:id="5"/>
    </w:p>
    <w:p w14:paraId="3E4D50F6">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1.温州理工学院滨海校区现有</w:t>
      </w:r>
      <w:r>
        <w:rPr>
          <w:rFonts w:hint="eastAsia" w:ascii="宋体" w:hAnsi="宋体" w:cs="宋体"/>
          <w:color w:val="auto"/>
          <w:sz w:val="22"/>
          <w:szCs w:val="22"/>
          <w:highlight w:val="none"/>
          <w:lang w:val="en-US" w:eastAsia="zh-CN"/>
        </w:rPr>
        <w:t>6500</w:t>
      </w:r>
      <w:r>
        <w:rPr>
          <w:rFonts w:hint="eastAsia" w:ascii="宋体" w:hAnsi="宋体" w:eastAsia="宋体" w:cs="宋体"/>
          <w:color w:val="auto"/>
          <w:sz w:val="22"/>
          <w:szCs w:val="22"/>
          <w:highlight w:val="none"/>
          <w:lang w:val="en-US" w:eastAsia="zh-CN"/>
        </w:rPr>
        <w:t>余人，共3个食堂</w:t>
      </w:r>
      <w:r>
        <w:rPr>
          <w:rFonts w:hint="eastAsia" w:ascii="宋体" w:hAnsi="宋体" w:eastAsia="宋体" w:cs="宋体"/>
          <w:color w:val="auto"/>
          <w:sz w:val="22"/>
          <w:szCs w:val="22"/>
          <w:highlight w:val="none"/>
          <w:lang w:eastAsia="zh-CN"/>
        </w:rPr>
        <w:t>，食堂总面积约</w:t>
      </w:r>
      <w:r>
        <w:rPr>
          <w:rFonts w:hint="eastAsia" w:ascii="宋体" w:hAnsi="宋体" w:cs="宋体"/>
          <w:color w:val="auto"/>
          <w:sz w:val="22"/>
          <w:szCs w:val="22"/>
          <w:highlight w:val="none"/>
          <w:lang w:val="en-US" w:eastAsia="zh-CN"/>
        </w:rPr>
        <w:t>9740</w:t>
      </w:r>
      <w:r>
        <w:rPr>
          <w:rFonts w:hint="eastAsia" w:ascii="宋体" w:hAnsi="宋体" w:eastAsia="宋体" w:cs="宋体"/>
          <w:color w:val="auto"/>
          <w:sz w:val="22"/>
          <w:szCs w:val="22"/>
          <w:highlight w:val="none"/>
          <w:lang w:eastAsia="zh-CN"/>
        </w:rPr>
        <w:t>㎡，座位</w:t>
      </w:r>
      <w:r>
        <w:rPr>
          <w:rFonts w:hint="eastAsia" w:ascii="宋体" w:hAnsi="宋体" w:eastAsia="宋体" w:cs="宋体"/>
          <w:color w:val="auto"/>
          <w:sz w:val="22"/>
          <w:szCs w:val="22"/>
          <w:highlight w:val="none"/>
          <w:lang w:val="en-US" w:eastAsia="zh-CN"/>
        </w:rPr>
        <w:t>1945</w:t>
      </w:r>
      <w:r>
        <w:rPr>
          <w:rFonts w:hint="eastAsia" w:ascii="宋体" w:hAnsi="宋体" w:eastAsia="宋体" w:cs="宋体"/>
          <w:color w:val="auto"/>
          <w:sz w:val="22"/>
          <w:szCs w:val="22"/>
          <w:highlight w:val="none"/>
          <w:lang w:eastAsia="zh-CN"/>
        </w:rPr>
        <w:t>个。壹号餐厅</w:t>
      </w:r>
      <w:r>
        <w:rPr>
          <w:rFonts w:hint="eastAsia" w:ascii="宋体" w:hAnsi="宋体" w:eastAsia="宋体" w:cs="宋体"/>
          <w:color w:val="auto"/>
          <w:sz w:val="22"/>
          <w:szCs w:val="22"/>
          <w:highlight w:val="none"/>
          <w:lang w:val="en-US" w:eastAsia="zh-CN"/>
        </w:rPr>
        <w:t>建筑面积约6780</w:t>
      </w:r>
      <w:r>
        <w:rPr>
          <w:rFonts w:hint="eastAsia" w:ascii="宋体" w:hAnsi="宋体" w:eastAsia="宋体" w:cs="宋体"/>
          <w:color w:val="auto"/>
          <w:sz w:val="22"/>
          <w:szCs w:val="22"/>
          <w:highlight w:val="none"/>
          <w:lang w:eastAsia="zh-CN"/>
        </w:rPr>
        <w:t>㎡，同时可容纳</w:t>
      </w:r>
      <w:r>
        <w:rPr>
          <w:rFonts w:hint="eastAsia" w:ascii="宋体" w:hAnsi="宋体" w:eastAsia="宋体" w:cs="宋体"/>
          <w:color w:val="auto"/>
          <w:sz w:val="22"/>
          <w:szCs w:val="22"/>
          <w:highlight w:val="none"/>
          <w:lang w:val="en-US" w:eastAsia="zh-CN"/>
        </w:rPr>
        <w:t>1332人就餐，提供</w:t>
      </w:r>
      <w:r>
        <w:rPr>
          <w:rFonts w:hint="eastAsia" w:ascii="宋体" w:hAnsi="宋体" w:eastAsia="宋体" w:cs="宋体"/>
          <w:color w:val="auto"/>
          <w:sz w:val="22"/>
          <w:szCs w:val="22"/>
          <w:highlight w:val="none"/>
          <w:lang w:eastAsia="zh-CN"/>
        </w:rPr>
        <w:t>大众快餐、风味小吃、特色品牌及</w:t>
      </w:r>
      <w:r>
        <w:rPr>
          <w:rFonts w:hint="eastAsia" w:ascii="宋体" w:hAnsi="宋体" w:eastAsia="宋体" w:cs="宋体"/>
          <w:color w:val="auto"/>
          <w:sz w:val="22"/>
          <w:szCs w:val="22"/>
          <w:highlight w:val="none"/>
          <w:lang w:val="en-US" w:eastAsia="zh-CN"/>
        </w:rPr>
        <w:t>小炒服务</w:t>
      </w:r>
      <w:r>
        <w:rPr>
          <w:rFonts w:hint="eastAsia" w:ascii="宋体" w:hAnsi="宋体" w:eastAsia="宋体" w:cs="宋体"/>
          <w:color w:val="auto"/>
          <w:sz w:val="22"/>
          <w:szCs w:val="22"/>
          <w:highlight w:val="none"/>
          <w:lang w:eastAsia="zh-CN"/>
        </w:rPr>
        <w:t>。</w:t>
      </w:r>
      <w:r>
        <w:rPr>
          <w:rFonts w:hint="eastAsia" w:ascii="宋体" w:hAnsi="宋体" w:cs="宋体"/>
          <w:color w:val="auto"/>
          <w:sz w:val="22"/>
          <w:szCs w:val="22"/>
          <w:highlight w:val="none"/>
          <w:lang w:val="en-US" w:eastAsia="zh-CN"/>
        </w:rPr>
        <w:t>上善坊</w:t>
      </w:r>
      <w:r>
        <w:rPr>
          <w:rFonts w:hint="eastAsia" w:ascii="宋体" w:hAnsi="宋体" w:eastAsia="宋体" w:cs="宋体"/>
          <w:color w:val="auto"/>
          <w:sz w:val="22"/>
          <w:szCs w:val="22"/>
          <w:highlight w:val="none"/>
          <w:lang w:eastAsia="zh-CN"/>
        </w:rPr>
        <w:t>餐厅</w:t>
      </w:r>
      <w:r>
        <w:rPr>
          <w:rFonts w:hint="eastAsia" w:ascii="宋体" w:hAnsi="宋体" w:eastAsia="宋体" w:cs="宋体"/>
          <w:color w:val="auto"/>
          <w:sz w:val="22"/>
          <w:szCs w:val="22"/>
          <w:highlight w:val="none"/>
          <w:lang w:val="en-US" w:eastAsia="zh-CN"/>
        </w:rPr>
        <w:t>建筑面积约2600㎡，同时可容纳800人就餐，经营</w:t>
      </w:r>
      <w:r>
        <w:rPr>
          <w:rFonts w:hint="eastAsia" w:ascii="宋体" w:hAnsi="宋体" w:eastAsia="宋体" w:cs="宋体"/>
          <w:color w:val="auto"/>
          <w:sz w:val="22"/>
          <w:szCs w:val="22"/>
          <w:highlight w:val="none"/>
          <w:lang w:eastAsia="zh-CN"/>
        </w:rPr>
        <w:t>中式大众快餐、面食</w:t>
      </w:r>
      <w:r>
        <w:rPr>
          <w:rFonts w:hint="eastAsia" w:ascii="宋体" w:hAnsi="宋体" w:eastAsia="宋体" w:cs="宋体"/>
          <w:color w:val="auto"/>
          <w:sz w:val="22"/>
          <w:szCs w:val="22"/>
          <w:highlight w:val="none"/>
          <w:lang w:val="en-US" w:eastAsia="zh-CN"/>
        </w:rPr>
        <w:t>等档口</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行政楼餐厅（无后厨）建筑面积约360㎡，现有餐座约163个，主要经营中式大众快餐、面食等，行政楼餐厅为送餐模式，即通过壹号餐厅后厨</w:t>
      </w:r>
      <w:r>
        <w:rPr>
          <w:rFonts w:hint="eastAsia" w:ascii="宋体" w:hAnsi="宋体" w:eastAsia="宋体" w:cs="宋体"/>
          <w:color w:val="auto"/>
          <w:sz w:val="22"/>
          <w:szCs w:val="22"/>
          <w:highlight w:val="none"/>
          <w:lang w:eastAsia="zh-CN"/>
        </w:rPr>
        <w:t>做好配送</w:t>
      </w:r>
      <w:r>
        <w:rPr>
          <w:rFonts w:hint="eastAsia" w:ascii="宋体" w:hAnsi="宋体" w:eastAsia="宋体" w:cs="宋体"/>
          <w:color w:val="auto"/>
          <w:sz w:val="22"/>
          <w:szCs w:val="22"/>
          <w:highlight w:val="none"/>
          <w:lang w:val="en-US" w:eastAsia="zh-CN"/>
        </w:rPr>
        <w:t>至行政楼餐厅。此外，滨海校区采</w:t>
      </w:r>
      <w:r>
        <w:rPr>
          <w:rFonts w:hint="eastAsia" w:ascii="宋体" w:hAnsi="宋体" w:cs="宋体"/>
          <w:color w:val="auto"/>
          <w:sz w:val="22"/>
          <w:szCs w:val="22"/>
          <w:highlight w:val="none"/>
          <w:lang w:val="en-US" w:eastAsia="zh-CN"/>
        </w:rPr>
        <w:t>购人现有</w:t>
      </w:r>
      <w:r>
        <w:rPr>
          <w:rFonts w:hint="eastAsia" w:ascii="宋体" w:hAnsi="宋体" w:eastAsia="宋体" w:cs="宋体"/>
          <w:color w:val="auto"/>
          <w:sz w:val="22"/>
          <w:szCs w:val="22"/>
          <w:highlight w:val="none"/>
          <w:lang w:val="en-US" w:eastAsia="zh-CN"/>
        </w:rPr>
        <w:t>2辆流动餐车主要经营中式大众快餐、面食等，餐车</w:t>
      </w:r>
      <w:r>
        <w:rPr>
          <w:rFonts w:hint="eastAsia" w:ascii="宋体" w:hAnsi="宋体" w:eastAsia="宋体" w:cs="宋体"/>
          <w:color w:val="auto"/>
          <w:sz w:val="22"/>
          <w:szCs w:val="22"/>
          <w:highlight w:val="none"/>
          <w:lang w:eastAsia="zh-CN"/>
        </w:rPr>
        <w:t>为送餐模式，即通过</w:t>
      </w:r>
      <w:r>
        <w:rPr>
          <w:rFonts w:hint="eastAsia" w:ascii="宋体" w:hAnsi="宋体" w:cs="宋体"/>
          <w:color w:val="auto"/>
          <w:kern w:val="2"/>
          <w:sz w:val="22"/>
          <w:szCs w:val="22"/>
          <w:highlight w:val="none"/>
          <w:u w:val="none"/>
          <w:lang w:val="en-US" w:eastAsia="zh-CN"/>
        </w:rPr>
        <w:t>上善坊</w:t>
      </w:r>
      <w:r>
        <w:rPr>
          <w:rFonts w:hint="eastAsia" w:ascii="宋体" w:hAnsi="宋体" w:eastAsia="宋体" w:cs="宋体"/>
          <w:color w:val="auto"/>
          <w:sz w:val="22"/>
          <w:szCs w:val="22"/>
          <w:highlight w:val="none"/>
          <w:lang w:eastAsia="zh-CN"/>
        </w:rPr>
        <w:t>餐厅</w:t>
      </w:r>
      <w:r>
        <w:rPr>
          <w:rFonts w:hint="eastAsia" w:ascii="宋体" w:hAnsi="宋体" w:eastAsia="宋体" w:cs="宋体"/>
          <w:color w:val="auto"/>
          <w:sz w:val="22"/>
          <w:szCs w:val="22"/>
          <w:highlight w:val="none"/>
          <w:lang w:val="en-US" w:eastAsia="zh-CN"/>
        </w:rPr>
        <w:t>后厨</w:t>
      </w:r>
      <w:r>
        <w:rPr>
          <w:rFonts w:hint="eastAsia" w:ascii="宋体" w:hAnsi="宋体" w:eastAsia="宋体" w:cs="宋体"/>
          <w:color w:val="auto"/>
          <w:sz w:val="22"/>
          <w:szCs w:val="22"/>
          <w:highlight w:val="none"/>
          <w:lang w:eastAsia="zh-CN"/>
        </w:rPr>
        <w:t>做好配送</w:t>
      </w:r>
      <w:r>
        <w:rPr>
          <w:rFonts w:hint="eastAsia" w:ascii="宋体" w:hAnsi="宋体" w:eastAsia="宋体" w:cs="宋体"/>
          <w:color w:val="auto"/>
          <w:sz w:val="22"/>
          <w:szCs w:val="22"/>
          <w:highlight w:val="none"/>
          <w:lang w:val="en-US" w:eastAsia="zh-CN"/>
        </w:rPr>
        <w:t>至2辆流动餐车</w:t>
      </w:r>
      <w:r>
        <w:rPr>
          <w:rFonts w:hint="eastAsia" w:ascii="宋体" w:hAnsi="宋体" w:cs="宋体"/>
          <w:color w:val="auto"/>
          <w:sz w:val="22"/>
          <w:szCs w:val="22"/>
          <w:highlight w:val="none"/>
          <w:u w:val="single"/>
          <w:lang w:val="en-US" w:eastAsia="zh-CN"/>
        </w:rPr>
        <w:t>【</w:t>
      </w:r>
      <w:r>
        <w:rPr>
          <w:rFonts w:hint="eastAsia" w:ascii="宋体" w:hAnsi="宋体" w:eastAsia="宋体" w:cs="宋体"/>
          <w:color w:val="auto"/>
          <w:sz w:val="22"/>
          <w:szCs w:val="22"/>
          <w:highlight w:val="none"/>
          <w:u w:val="single"/>
        </w:rPr>
        <w:t>▲</w:t>
      </w:r>
      <w:r>
        <w:rPr>
          <w:rFonts w:hint="eastAsia" w:ascii="宋体" w:hAnsi="宋体" w:eastAsia="宋体" w:cs="宋体"/>
          <w:color w:val="auto"/>
          <w:sz w:val="22"/>
          <w:szCs w:val="22"/>
          <w:highlight w:val="none"/>
          <w:u w:val="single"/>
          <w:lang w:val="en-US" w:eastAsia="zh-CN"/>
        </w:rPr>
        <w:t>餐车运营安排由采购人根据实际需要决定，中标人须无条件配合（包括提供所需人员</w:t>
      </w:r>
      <w:r>
        <w:rPr>
          <w:rFonts w:hint="default" w:ascii="宋体" w:hAnsi="宋体" w:eastAsia="宋体" w:cs="宋体"/>
          <w:color w:val="auto"/>
          <w:sz w:val="22"/>
          <w:szCs w:val="22"/>
          <w:highlight w:val="none"/>
          <w:u w:val="single"/>
          <w:lang w:val="en-US" w:eastAsia="zh-CN"/>
        </w:rPr>
        <w:t>及增加的餐车车辆，费用由</w:t>
      </w:r>
      <w:r>
        <w:rPr>
          <w:rFonts w:hint="eastAsia" w:ascii="宋体" w:hAnsi="宋体" w:eastAsia="宋体" w:cs="宋体"/>
          <w:color w:val="auto"/>
          <w:sz w:val="22"/>
          <w:szCs w:val="22"/>
          <w:highlight w:val="none"/>
          <w:u w:val="single"/>
          <w:lang w:val="en-US" w:eastAsia="zh-CN"/>
        </w:rPr>
        <w:t>中标人</w:t>
      </w:r>
      <w:r>
        <w:rPr>
          <w:rFonts w:hint="default" w:ascii="宋体" w:hAnsi="宋体" w:eastAsia="宋体" w:cs="宋体"/>
          <w:color w:val="auto"/>
          <w:sz w:val="22"/>
          <w:szCs w:val="22"/>
          <w:highlight w:val="none"/>
          <w:u w:val="single"/>
          <w:lang w:val="en-US" w:eastAsia="zh-CN"/>
        </w:rPr>
        <w:t>承担</w:t>
      </w:r>
      <w:r>
        <w:rPr>
          <w:rFonts w:hint="eastAsia" w:ascii="宋体" w:hAnsi="宋体" w:eastAsia="宋体" w:cs="宋体"/>
          <w:color w:val="auto"/>
          <w:sz w:val="22"/>
          <w:szCs w:val="22"/>
          <w:highlight w:val="none"/>
          <w:u w:val="single"/>
          <w:lang w:val="en-US" w:eastAsia="zh-CN"/>
        </w:rPr>
        <w:t>）。后期若采购人决定取消</w:t>
      </w:r>
      <w:r>
        <w:rPr>
          <w:rFonts w:hint="default" w:ascii="宋体" w:hAnsi="宋体" w:eastAsia="宋体" w:cs="宋体"/>
          <w:color w:val="auto"/>
          <w:sz w:val="22"/>
          <w:szCs w:val="22"/>
          <w:highlight w:val="none"/>
          <w:u w:val="single"/>
          <w:lang w:val="en-US" w:eastAsia="zh-CN"/>
        </w:rPr>
        <w:t>或调整</w:t>
      </w:r>
      <w:r>
        <w:rPr>
          <w:rFonts w:hint="eastAsia" w:ascii="宋体" w:hAnsi="宋体" w:eastAsia="宋体" w:cs="宋体"/>
          <w:color w:val="auto"/>
          <w:sz w:val="22"/>
          <w:szCs w:val="22"/>
          <w:highlight w:val="none"/>
          <w:u w:val="single"/>
          <w:lang w:val="en-US" w:eastAsia="zh-CN"/>
        </w:rPr>
        <w:t>餐车运营/服务，中标人亦须无条件配合。）</w:t>
      </w:r>
      <w:r>
        <w:rPr>
          <w:rFonts w:hint="eastAsia" w:ascii="宋体" w:hAnsi="宋体" w:cs="宋体"/>
          <w:color w:val="auto"/>
          <w:sz w:val="22"/>
          <w:szCs w:val="22"/>
          <w:highlight w:val="none"/>
          <w:u w:val="single"/>
          <w:lang w:val="en-US" w:eastAsia="zh-CN"/>
        </w:rPr>
        <w:t>】</w:t>
      </w:r>
      <w:r>
        <w:rPr>
          <w:rFonts w:hint="eastAsia" w:ascii="宋体" w:hAnsi="宋体" w:eastAsia="宋体" w:cs="宋体"/>
          <w:color w:val="auto"/>
          <w:sz w:val="22"/>
          <w:szCs w:val="22"/>
          <w:highlight w:val="none"/>
          <w:lang w:val="en-US" w:eastAsia="zh-CN"/>
        </w:rPr>
        <w:t>。</w:t>
      </w:r>
    </w:p>
    <w:p w14:paraId="26A398D8">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outlineLvl w:val="9"/>
        <w:rPr>
          <w:rFonts w:hint="eastAsia" w:ascii="宋体" w:hAnsi="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温州理工学院</w:t>
      </w:r>
      <w:r>
        <w:rPr>
          <w:rFonts w:hint="eastAsia" w:ascii="宋体" w:hAnsi="宋体" w:cs="宋体"/>
          <w:color w:val="auto"/>
          <w:sz w:val="22"/>
          <w:szCs w:val="22"/>
          <w:highlight w:val="none"/>
          <w:lang w:val="en-US" w:eastAsia="zh-CN"/>
        </w:rPr>
        <w:t>乐清校区</w:t>
      </w:r>
      <w:r>
        <w:rPr>
          <w:rFonts w:hint="eastAsia" w:ascii="宋体" w:hAnsi="宋体" w:eastAsia="宋体" w:cs="宋体"/>
          <w:color w:val="auto"/>
          <w:sz w:val="22"/>
          <w:szCs w:val="22"/>
          <w:highlight w:val="none"/>
          <w:lang w:val="en-US" w:eastAsia="zh-CN"/>
        </w:rPr>
        <w:t>现有</w:t>
      </w:r>
      <w:r>
        <w:rPr>
          <w:rFonts w:hint="eastAsia" w:ascii="宋体" w:hAnsi="宋体" w:cs="宋体"/>
          <w:color w:val="auto"/>
          <w:sz w:val="22"/>
          <w:szCs w:val="22"/>
          <w:highlight w:val="none"/>
          <w:lang w:val="en-US" w:eastAsia="zh-CN"/>
        </w:rPr>
        <w:t>3500</w:t>
      </w:r>
      <w:r>
        <w:rPr>
          <w:rFonts w:hint="eastAsia" w:ascii="宋体" w:hAnsi="宋体" w:eastAsia="宋体" w:cs="宋体"/>
          <w:color w:val="auto"/>
          <w:sz w:val="22"/>
          <w:szCs w:val="22"/>
          <w:highlight w:val="none"/>
          <w:lang w:val="en-US" w:eastAsia="zh-CN"/>
        </w:rPr>
        <w:t>余人</w:t>
      </w:r>
      <w:r>
        <w:rPr>
          <w:rFonts w:hint="eastAsia" w:ascii="宋体" w:hAnsi="宋体" w:cs="宋体"/>
          <w:color w:val="auto"/>
          <w:sz w:val="22"/>
          <w:szCs w:val="22"/>
          <w:highlight w:val="none"/>
          <w:lang w:val="en-US" w:eastAsia="zh-CN"/>
        </w:rPr>
        <w:t>，</w:t>
      </w:r>
      <w:r>
        <w:rPr>
          <w:rFonts w:hint="eastAsia" w:ascii="宋体" w:hAnsi="宋体" w:eastAsia="宋体" w:cs="宋体"/>
          <w:color w:val="auto"/>
          <w:sz w:val="22"/>
          <w:szCs w:val="22"/>
          <w:highlight w:val="none"/>
          <w:lang w:val="en-US" w:eastAsia="zh-CN"/>
        </w:rPr>
        <w:t>共</w:t>
      </w:r>
      <w:r>
        <w:rPr>
          <w:rFonts w:hint="eastAsia" w:ascii="宋体" w:hAnsi="宋体" w:cs="宋体"/>
          <w:color w:val="auto"/>
          <w:sz w:val="22"/>
          <w:szCs w:val="22"/>
          <w:highlight w:val="none"/>
          <w:lang w:val="en-US" w:eastAsia="zh-CN"/>
        </w:rPr>
        <w:t>1个食堂，食堂总面积约8012㎡，规划座位约2000多个，提供大众快餐、风味小吃、特色品牌及小炒服务。乐清校区流动餐车由投标人提供，送餐模式，主营中式大众快餐、面食等，</w:t>
      </w:r>
      <w:r>
        <w:rPr>
          <w:rFonts w:hint="eastAsia" w:ascii="宋体" w:hAnsi="宋体" w:eastAsia="宋体" w:cs="宋体"/>
          <w:color w:val="auto"/>
          <w:sz w:val="22"/>
          <w:szCs w:val="22"/>
          <w:highlight w:val="none"/>
          <w:lang w:val="en-US" w:eastAsia="zh-CN"/>
        </w:rPr>
        <w:t>是否运营及具体数量由校方决定</w:t>
      </w:r>
      <w:r>
        <w:rPr>
          <w:rFonts w:hint="eastAsia" w:ascii="宋体" w:hAnsi="宋体" w:cs="宋体"/>
          <w:color w:val="auto"/>
          <w:sz w:val="22"/>
          <w:szCs w:val="22"/>
          <w:highlight w:val="none"/>
          <w:u w:val="single"/>
          <w:lang w:val="en-US" w:eastAsia="zh-CN"/>
        </w:rPr>
        <w:t>【</w:t>
      </w:r>
      <w:r>
        <w:rPr>
          <w:rFonts w:hint="eastAsia" w:ascii="宋体" w:hAnsi="宋体" w:eastAsia="宋体" w:cs="宋体"/>
          <w:color w:val="auto"/>
          <w:sz w:val="22"/>
          <w:szCs w:val="22"/>
          <w:highlight w:val="none"/>
          <w:u w:val="single"/>
        </w:rPr>
        <w:t>▲</w:t>
      </w:r>
      <w:r>
        <w:rPr>
          <w:rFonts w:hint="eastAsia" w:ascii="宋体" w:hAnsi="宋体" w:eastAsia="宋体" w:cs="宋体"/>
          <w:color w:val="auto"/>
          <w:sz w:val="22"/>
          <w:szCs w:val="22"/>
          <w:highlight w:val="none"/>
          <w:u w:val="single"/>
          <w:lang w:val="en-US" w:eastAsia="zh-CN"/>
        </w:rPr>
        <w:t>餐车运营安排由采购人根据实际需要决定，中标人须无条件配合（包括提供所需人员及车辆</w:t>
      </w:r>
      <w:r>
        <w:rPr>
          <w:rFonts w:hint="default" w:ascii="宋体" w:hAnsi="宋体" w:eastAsia="宋体" w:cs="宋体"/>
          <w:color w:val="auto"/>
          <w:sz w:val="22"/>
          <w:szCs w:val="22"/>
          <w:highlight w:val="none"/>
          <w:u w:val="single"/>
          <w:lang w:val="en-US" w:eastAsia="zh-CN"/>
        </w:rPr>
        <w:t>，费用由</w:t>
      </w:r>
      <w:r>
        <w:rPr>
          <w:rFonts w:hint="eastAsia" w:ascii="宋体" w:hAnsi="宋体" w:eastAsia="宋体" w:cs="宋体"/>
          <w:color w:val="auto"/>
          <w:sz w:val="22"/>
          <w:szCs w:val="22"/>
          <w:highlight w:val="none"/>
          <w:u w:val="single"/>
          <w:lang w:val="en-US" w:eastAsia="zh-CN"/>
        </w:rPr>
        <w:t>中标人</w:t>
      </w:r>
      <w:r>
        <w:rPr>
          <w:rFonts w:hint="default" w:ascii="宋体" w:hAnsi="宋体" w:eastAsia="宋体" w:cs="宋体"/>
          <w:color w:val="auto"/>
          <w:sz w:val="22"/>
          <w:szCs w:val="22"/>
          <w:highlight w:val="none"/>
          <w:u w:val="single"/>
          <w:lang w:val="en-US" w:eastAsia="zh-CN"/>
        </w:rPr>
        <w:t>承担</w:t>
      </w:r>
      <w:r>
        <w:rPr>
          <w:rFonts w:hint="eastAsia" w:ascii="宋体" w:hAnsi="宋体" w:eastAsia="宋体" w:cs="宋体"/>
          <w:color w:val="auto"/>
          <w:sz w:val="22"/>
          <w:szCs w:val="22"/>
          <w:highlight w:val="none"/>
          <w:u w:val="single"/>
          <w:lang w:val="en-US" w:eastAsia="zh-CN"/>
        </w:rPr>
        <w:t>）。后期若采购人决定取消餐车运营/服务，中标人亦须无条件配合。）</w:t>
      </w:r>
      <w:r>
        <w:rPr>
          <w:rFonts w:hint="eastAsia" w:ascii="宋体" w:hAnsi="宋体" w:cs="宋体"/>
          <w:color w:val="auto"/>
          <w:sz w:val="22"/>
          <w:szCs w:val="22"/>
          <w:highlight w:val="none"/>
          <w:u w:val="single"/>
          <w:lang w:val="en-US" w:eastAsia="zh-CN"/>
        </w:rPr>
        <w:t>】</w:t>
      </w:r>
      <w:r>
        <w:rPr>
          <w:rFonts w:hint="eastAsia" w:ascii="宋体" w:hAnsi="宋体" w:cs="宋体"/>
          <w:color w:val="auto"/>
          <w:sz w:val="22"/>
          <w:szCs w:val="22"/>
          <w:highlight w:val="none"/>
          <w:lang w:val="en-US" w:eastAsia="zh-CN"/>
        </w:rPr>
        <w:t>。</w:t>
      </w:r>
    </w:p>
    <w:p w14:paraId="42B2C40E">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以上数据仅供参考，最终以实际为准。</w:t>
      </w:r>
    </w:p>
    <w:p w14:paraId="7F47346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40" w:firstLineChars="200"/>
        <w:textAlignment w:val="auto"/>
        <w:outlineLvl w:val="9"/>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lang w:eastAsia="zh-CN"/>
        </w:rPr>
        <w:t>经营方式：投标人在以上经营范围内自主经营、自负盈亏。未经采购人同意不得改变本项目特色功能，不得擅自经营其他食物和非食物产品。</w:t>
      </w:r>
      <w:r>
        <w:rPr>
          <w:rFonts w:hint="eastAsia" w:ascii="宋体" w:hAnsi="宋体" w:eastAsia="宋体" w:cs="宋体"/>
          <w:color w:val="auto"/>
          <w:sz w:val="22"/>
          <w:szCs w:val="22"/>
          <w:highlight w:val="none"/>
          <w:u w:val="none"/>
          <w:lang w:bidi="ar"/>
        </w:rPr>
        <w:t>在经营区域只从事</w:t>
      </w:r>
      <w:r>
        <w:rPr>
          <w:rFonts w:hint="eastAsia" w:ascii="宋体" w:hAnsi="宋体" w:eastAsia="宋体" w:cs="宋体"/>
          <w:color w:val="auto"/>
          <w:sz w:val="22"/>
          <w:szCs w:val="22"/>
          <w:highlight w:val="none"/>
          <w:u w:val="none"/>
          <w:lang w:val="en-US" w:eastAsia="zh-CN" w:bidi="ar"/>
        </w:rPr>
        <w:t>采购人</w:t>
      </w:r>
      <w:r>
        <w:rPr>
          <w:rFonts w:hint="eastAsia" w:ascii="宋体" w:hAnsi="宋体" w:eastAsia="宋体" w:cs="宋体"/>
          <w:color w:val="auto"/>
          <w:sz w:val="22"/>
          <w:szCs w:val="22"/>
          <w:highlight w:val="none"/>
          <w:u w:val="none"/>
          <w:lang w:bidi="ar"/>
        </w:rPr>
        <w:t>认可的服务工作</w:t>
      </w:r>
      <w:r>
        <w:rPr>
          <w:rFonts w:hint="eastAsia" w:ascii="宋体" w:hAnsi="宋体" w:eastAsia="宋体" w:cs="宋体"/>
          <w:color w:val="auto"/>
          <w:sz w:val="22"/>
          <w:szCs w:val="22"/>
          <w:highlight w:val="none"/>
          <w:u w:val="none"/>
          <w:lang w:eastAsia="zh-CN" w:bidi="ar"/>
        </w:rPr>
        <w:t>。</w:t>
      </w:r>
      <w:r>
        <w:rPr>
          <w:rFonts w:hint="eastAsia" w:ascii="宋体" w:hAnsi="宋体" w:eastAsia="宋体" w:cs="宋体"/>
          <w:color w:val="auto"/>
          <w:sz w:val="22"/>
          <w:szCs w:val="22"/>
          <w:highlight w:val="none"/>
          <w:u w:val="none"/>
          <w:lang w:eastAsia="zh-CN"/>
        </w:rPr>
        <w:t xml:space="preserve"> </w:t>
      </w:r>
    </w:p>
    <w:p w14:paraId="272F39C7">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lang w:val="en-US" w:eastAsia="zh-CN"/>
        </w:rPr>
        <w:t>二</w:t>
      </w:r>
      <w:r>
        <w:rPr>
          <w:rFonts w:hint="eastAsia" w:ascii="宋体" w:hAnsi="宋体" w:eastAsia="宋体" w:cs="宋体"/>
          <w:b/>
          <w:color w:val="auto"/>
          <w:sz w:val="22"/>
          <w:szCs w:val="22"/>
          <w:highlight w:val="none"/>
          <w:lang w:eastAsia="zh-CN"/>
        </w:rPr>
        <w:t>、</w:t>
      </w:r>
      <w:r>
        <w:rPr>
          <w:rFonts w:hint="eastAsia" w:ascii="宋体" w:hAnsi="宋体" w:eastAsia="宋体" w:cs="宋体"/>
          <w:b/>
          <w:color w:val="auto"/>
          <w:sz w:val="22"/>
          <w:szCs w:val="22"/>
          <w:highlight w:val="none"/>
        </w:rPr>
        <w:t>委托</w:t>
      </w:r>
      <w:r>
        <w:rPr>
          <w:rFonts w:hint="eastAsia" w:ascii="宋体" w:hAnsi="宋体" w:eastAsia="宋体" w:cs="宋体"/>
          <w:b/>
          <w:color w:val="auto"/>
          <w:sz w:val="22"/>
          <w:szCs w:val="22"/>
          <w:highlight w:val="none"/>
          <w:lang w:eastAsia="zh-CN"/>
        </w:rPr>
        <w:t>服务</w:t>
      </w:r>
      <w:r>
        <w:rPr>
          <w:rFonts w:hint="eastAsia" w:ascii="宋体" w:hAnsi="宋体" w:eastAsia="宋体" w:cs="宋体"/>
          <w:b/>
          <w:color w:val="auto"/>
          <w:sz w:val="22"/>
          <w:szCs w:val="22"/>
          <w:highlight w:val="none"/>
        </w:rPr>
        <w:t>期限</w:t>
      </w:r>
    </w:p>
    <w:p w14:paraId="2BA3BF5D">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本次</w:t>
      </w:r>
      <w:r>
        <w:rPr>
          <w:rFonts w:hint="eastAsia" w:ascii="宋体" w:hAnsi="宋体" w:eastAsia="宋体" w:cs="宋体"/>
          <w:color w:val="auto"/>
          <w:sz w:val="22"/>
          <w:szCs w:val="22"/>
          <w:highlight w:val="none"/>
          <w:lang w:val="en-US" w:eastAsia="zh-CN"/>
        </w:rPr>
        <w:t>采购</w:t>
      </w:r>
      <w:r>
        <w:rPr>
          <w:rFonts w:hint="eastAsia" w:ascii="宋体" w:hAnsi="宋体" w:eastAsia="宋体" w:cs="宋体"/>
          <w:color w:val="auto"/>
          <w:sz w:val="22"/>
          <w:szCs w:val="22"/>
          <w:highlight w:val="none"/>
          <w:lang w:eastAsia="zh-CN"/>
        </w:rPr>
        <w:t>为温州理工学院滨海校区</w:t>
      </w:r>
      <w:r>
        <w:rPr>
          <w:rFonts w:hint="eastAsia" w:ascii="宋体" w:hAnsi="宋体" w:cs="宋体"/>
          <w:color w:val="auto"/>
          <w:sz w:val="22"/>
          <w:szCs w:val="22"/>
          <w:highlight w:val="none"/>
          <w:lang w:val="en-US" w:eastAsia="zh-CN"/>
        </w:rPr>
        <w:t>及乐清校区</w:t>
      </w:r>
      <w:r>
        <w:rPr>
          <w:rFonts w:hint="eastAsia" w:ascii="宋体" w:hAnsi="宋体" w:eastAsia="宋体" w:cs="宋体"/>
          <w:color w:val="auto"/>
          <w:sz w:val="22"/>
          <w:szCs w:val="22"/>
          <w:highlight w:val="none"/>
          <w:lang w:eastAsia="zh-CN"/>
        </w:rPr>
        <w:t>食堂外包经营服务</w:t>
      </w:r>
      <w:r>
        <w:rPr>
          <w:rFonts w:hint="eastAsia" w:ascii="宋体" w:hAnsi="宋体" w:eastAsia="宋体" w:cs="宋体"/>
          <w:color w:val="auto"/>
          <w:sz w:val="22"/>
          <w:szCs w:val="22"/>
          <w:highlight w:val="none"/>
        </w:rPr>
        <w:t>，委托</w:t>
      </w:r>
      <w:r>
        <w:rPr>
          <w:rFonts w:hint="eastAsia" w:ascii="宋体" w:hAnsi="宋体" w:eastAsia="宋体" w:cs="宋体"/>
          <w:color w:val="auto"/>
          <w:sz w:val="22"/>
          <w:szCs w:val="22"/>
          <w:highlight w:val="none"/>
          <w:lang w:eastAsia="zh-CN"/>
        </w:rPr>
        <w:t>服务</w:t>
      </w:r>
      <w:r>
        <w:rPr>
          <w:rFonts w:hint="eastAsia" w:ascii="宋体" w:hAnsi="宋体" w:eastAsia="宋体" w:cs="宋体"/>
          <w:color w:val="auto"/>
          <w:sz w:val="22"/>
          <w:szCs w:val="22"/>
          <w:highlight w:val="none"/>
        </w:rPr>
        <w:t>期为：</w:t>
      </w:r>
      <w:r>
        <w:rPr>
          <w:rFonts w:hint="eastAsia" w:ascii="宋体" w:hAnsi="宋体" w:eastAsia="宋体" w:cs="宋体"/>
          <w:color w:val="auto"/>
          <w:sz w:val="22"/>
          <w:szCs w:val="22"/>
          <w:highlight w:val="none"/>
          <w:lang w:eastAsia="zh-CN"/>
        </w:rPr>
        <w:t>202</w:t>
      </w:r>
      <w:r>
        <w:rPr>
          <w:rFonts w:hint="eastAsia" w:ascii="宋体" w:hAnsi="宋体" w:cs="宋体"/>
          <w:color w:val="auto"/>
          <w:sz w:val="22"/>
          <w:szCs w:val="22"/>
          <w:highlight w:val="none"/>
          <w:lang w:val="en-US" w:eastAsia="zh-CN"/>
        </w:rPr>
        <w:t>6</w:t>
      </w:r>
      <w:r>
        <w:rPr>
          <w:rFonts w:hint="eastAsia" w:ascii="宋体" w:hAnsi="宋体" w:eastAsia="宋体" w:cs="宋体"/>
          <w:color w:val="auto"/>
          <w:sz w:val="22"/>
          <w:szCs w:val="22"/>
          <w:highlight w:val="none"/>
          <w:lang w:eastAsia="zh-CN"/>
        </w:rPr>
        <w:t>年09月01日至202</w:t>
      </w:r>
      <w:r>
        <w:rPr>
          <w:rFonts w:hint="eastAsia" w:ascii="宋体" w:hAnsi="宋体" w:cs="宋体"/>
          <w:color w:val="auto"/>
          <w:sz w:val="22"/>
          <w:szCs w:val="22"/>
          <w:highlight w:val="none"/>
          <w:lang w:val="en-US" w:eastAsia="zh-CN"/>
        </w:rPr>
        <w:t>8</w:t>
      </w:r>
      <w:r>
        <w:rPr>
          <w:rFonts w:hint="eastAsia" w:ascii="宋体" w:hAnsi="宋体" w:eastAsia="宋体" w:cs="宋体"/>
          <w:color w:val="auto"/>
          <w:sz w:val="22"/>
          <w:szCs w:val="22"/>
          <w:highlight w:val="none"/>
          <w:lang w:eastAsia="zh-CN"/>
        </w:rPr>
        <w:t>年0</w:t>
      </w:r>
      <w:r>
        <w:rPr>
          <w:rFonts w:hint="eastAsia" w:ascii="宋体" w:hAnsi="宋体" w:eastAsia="宋体" w:cs="宋体"/>
          <w:color w:val="auto"/>
          <w:sz w:val="22"/>
          <w:szCs w:val="22"/>
          <w:highlight w:val="none"/>
          <w:lang w:val="en-US" w:eastAsia="zh-CN"/>
        </w:rPr>
        <w:t>8</w:t>
      </w:r>
      <w:r>
        <w:rPr>
          <w:rFonts w:hint="eastAsia" w:ascii="宋体" w:hAnsi="宋体" w:eastAsia="宋体" w:cs="宋体"/>
          <w:color w:val="auto"/>
          <w:sz w:val="22"/>
          <w:szCs w:val="22"/>
          <w:highlight w:val="none"/>
          <w:lang w:eastAsia="zh-CN"/>
        </w:rPr>
        <w:t>月31日结束</w:t>
      </w:r>
      <w:r>
        <w:rPr>
          <w:rFonts w:hint="eastAsia" w:ascii="宋体" w:hAnsi="宋体" w:eastAsia="宋体" w:cs="宋体"/>
          <w:color w:val="auto"/>
          <w:sz w:val="22"/>
          <w:szCs w:val="22"/>
          <w:highlight w:val="none"/>
          <w:lang w:val="en-US" w:eastAsia="zh-CN"/>
        </w:rPr>
        <w:t>。</w:t>
      </w:r>
      <w:bookmarkStart w:id="7" w:name="_GoBack"/>
      <w:bookmarkEnd w:id="7"/>
    </w:p>
    <w:p w14:paraId="6572B022">
      <w:pPr>
        <w:keepNext w:val="0"/>
        <w:keepLines w:val="0"/>
        <w:pageBreakBefore w:val="0"/>
        <w:widowControl w:val="0"/>
        <w:kinsoku/>
        <w:overflowPunct/>
        <w:topLinePunct w:val="0"/>
        <w:autoSpaceDE w:val="0"/>
        <w:autoSpaceDN/>
        <w:bidi w:val="0"/>
        <w:adjustRightInd/>
        <w:snapToGrid w:val="0"/>
        <w:spacing w:before="0" w:line="360" w:lineRule="auto"/>
        <w:ind w:right="0"/>
        <w:jc w:val="both"/>
        <w:textAlignment w:val="auto"/>
        <w:rPr>
          <w:rFonts w:hint="eastAsia" w:ascii="宋体" w:hAnsi="宋体" w:eastAsia="宋体" w:cs="宋体"/>
          <w:color w:val="auto"/>
          <w:kern w:val="2"/>
          <w:sz w:val="22"/>
          <w:szCs w:val="22"/>
          <w:highlight w:val="none"/>
          <w:lang w:val="en-US" w:eastAsia="zh-CN"/>
        </w:rPr>
      </w:pPr>
      <w:r>
        <w:rPr>
          <w:rFonts w:hint="eastAsia" w:ascii="宋体" w:hAnsi="宋体" w:eastAsia="宋体" w:cs="宋体"/>
          <w:b/>
          <w:color w:val="auto"/>
          <w:sz w:val="22"/>
          <w:szCs w:val="22"/>
          <w:highlight w:val="none"/>
          <w:lang w:val="en-US" w:eastAsia="zh-CN"/>
        </w:rPr>
        <w:t>三、履约保证金</w:t>
      </w:r>
      <w:r>
        <w:rPr>
          <w:rFonts w:hint="eastAsia" w:ascii="宋体" w:hAnsi="宋体" w:eastAsia="宋体" w:cs="宋体"/>
          <w:color w:val="auto"/>
          <w:kern w:val="2"/>
          <w:sz w:val="22"/>
          <w:szCs w:val="22"/>
          <w:highlight w:val="none"/>
          <w:lang w:val="en-US" w:eastAsia="zh-CN"/>
        </w:rPr>
        <w:t>。</w:t>
      </w:r>
    </w:p>
    <w:p w14:paraId="0CE8B0E1">
      <w:pPr>
        <w:keepNext w:val="0"/>
        <w:keepLines w:val="0"/>
        <w:pageBreakBefore w:val="0"/>
        <w:widowControl w:val="0"/>
        <w:kinsoku/>
        <w:overflowPunct/>
        <w:topLinePunct w:val="0"/>
        <w:autoSpaceDE w:val="0"/>
        <w:autoSpaceDN/>
        <w:bidi w:val="0"/>
        <w:adjustRightInd/>
        <w:snapToGrid w:val="0"/>
        <w:spacing w:before="0" w:line="360" w:lineRule="auto"/>
        <w:ind w:right="0" w:firstLine="440" w:firstLineChars="200"/>
        <w:jc w:val="both"/>
        <w:textAlignment w:val="auto"/>
        <w:rPr>
          <w:rFonts w:hint="eastAsia" w:eastAsia="宋体"/>
          <w:color w:val="auto"/>
          <w:sz w:val="22"/>
          <w:szCs w:val="22"/>
          <w:highlight w:val="none"/>
          <w:u w:val="single"/>
          <w:lang w:val="en-US" w:eastAsia="zh-CN"/>
        </w:rPr>
      </w:pPr>
      <w:r>
        <w:rPr>
          <w:rFonts w:hint="eastAsia" w:ascii="宋体" w:hAnsi="宋体" w:eastAsia="宋体" w:cs="宋体"/>
          <w:color w:val="auto"/>
          <w:sz w:val="22"/>
          <w:szCs w:val="22"/>
          <w:highlight w:val="none"/>
          <w:u w:val="single"/>
        </w:rPr>
        <w:t>▲</w:t>
      </w:r>
      <w:r>
        <w:rPr>
          <w:rFonts w:hint="eastAsia" w:ascii="宋体" w:hAnsi="宋体" w:eastAsia="宋体" w:cs="宋体"/>
          <w:b w:val="0"/>
          <w:color w:val="auto"/>
          <w:kern w:val="2"/>
          <w:sz w:val="22"/>
          <w:szCs w:val="22"/>
          <w:highlight w:val="none"/>
          <w:u w:val="single"/>
          <w:lang w:eastAsia="zh-CN"/>
        </w:rPr>
        <w:t>投标人</w:t>
      </w:r>
      <w:r>
        <w:rPr>
          <w:rFonts w:hint="eastAsia" w:ascii="宋体" w:hAnsi="宋体" w:eastAsia="宋体" w:cs="宋体"/>
          <w:b w:val="0"/>
          <w:color w:val="auto"/>
          <w:kern w:val="2"/>
          <w:sz w:val="22"/>
          <w:szCs w:val="22"/>
          <w:highlight w:val="none"/>
          <w:u w:val="single"/>
        </w:rPr>
        <w:t>应在</w:t>
      </w:r>
      <w:r>
        <w:rPr>
          <w:rFonts w:hint="eastAsia" w:ascii="宋体" w:hAnsi="宋体" w:eastAsia="宋体" w:cs="宋体"/>
          <w:b w:val="0"/>
          <w:color w:val="auto"/>
          <w:kern w:val="2"/>
          <w:sz w:val="22"/>
          <w:szCs w:val="22"/>
          <w:highlight w:val="none"/>
          <w:u w:val="single"/>
          <w:lang w:val="en-US" w:eastAsia="zh-CN"/>
        </w:rPr>
        <w:t>合同签订</w:t>
      </w:r>
      <w:r>
        <w:rPr>
          <w:rFonts w:hint="eastAsia" w:ascii="宋体" w:hAnsi="宋体" w:eastAsia="宋体" w:cs="宋体"/>
          <w:b w:val="0"/>
          <w:color w:val="auto"/>
          <w:kern w:val="2"/>
          <w:sz w:val="22"/>
          <w:szCs w:val="22"/>
          <w:highlight w:val="none"/>
          <w:u w:val="single"/>
        </w:rPr>
        <w:t>后</w:t>
      </w:r>
      <w:r>
        <w:rPr>
          <w:rFonts w:hint="eastAsia" w:ascii="宋体" w:hAnsi="宋体" w:eastAsia="宋体" w:cs="宋体"/>
          <w:b w:val="0"/>
          <w:color w:val="auto"/>
          <w:kern w:val="2"/>
          <w:sz w:val="22"/>
          <w:szCs w:val="22"/>
          <w:highlight w:val="none"/>
          <w:u w:val="single"/>
          <w:lang w:val="en-US" w:eastAsia="zh-CN"/>
        </w:rPr>
        <w:t>5</w:t>
      </w:r>
      <w:r>
        <w:rPr>
          <w:rFonts w:hint="eastAsia" w:ascii="宋体" w:hAnsi="宋体" w:eastAsia="宋体" w:cs="宋体"/>
          <w:b w:val="0"/>
          <w:color w:val="auto"/>
          <w:kern w:val="2"/>
          <w:sz w:val="22"/>
          <w:szCs w:val="22"/>
          <w:highlight w:val="none"/>
          <w:u w:val="single"/>
        </w:rPr>
        <w:t>个工作日内，向</w:t>
      </w:r>
      <w:r>
        <w:rPr>
          <w:rFonts w:hint="eastAsia" w:ascii="宋体" w:hAnsi="宋体" w:eastAsia="宋体" w:cs="宋体"/>
          <w:b w:val="0"/>
          <w:color w:val="auto"/>
          <w:kern w:val="2"/>
          <w:sz w:val="22"/>
          <w:szCs w:val="22"/>
          <w:highlight w:val="none"/>
          <w:u w:val="single"/>
          <w:lang w:eastAsia="zh-CN"/>
        </w:rPr>
        <w:t>采购人</w:t>
      </w:r>
      <w:r>
        <w:rPr>
          <w:rFonts w:hint="eastAsia" w:ascii="宋体" w:hAnsi="宋体" w:eastAsia="宋体" w:cs="宋体"/>
          <w:b w:val="0"/>
          <w:color w:val="auto"/>
          <w:kern w:val="2"/>
          <w:sz w:val="22"/>
          <w:szCs w:val="22"/>
          <w:highlight w:val="none"/>
          <w:u w:val="single"/>
        </w:rPr>
        <w:t>指定账户缴纳</w:t>
      </w:r>
      <w:r>
        <w:rPr>
          <w:rFonts w:hint="eastAsia" w:ascii="宋体" w:hAnsi="宋体" w:eastAsia="宋体" w:cs="宋体"/>
          <w:b w:val="0"/>
          <w:color w:val="auto"/>
          <w:kern w:val="2"/>
          <w:sz w:val="22"/>
          <w:szCs w:val="22"/>
          <w:highlight w:val="none"/>
          <w:u w:val="single"/>
          <w:lang w:val="en-US" w:eastAsia="zh-CN"/>
        </w:rPr>
        <w:t>人民币</w:t>
      </w:r>
      <w:r>
        <w:rPr>
          <w:rFonts w:hint="eastAsia" w:ascii="宋体" w:hAnsi="宋体" w:cs="宋体"/>
          <w:b w:val="0"/>
          <w:color w:val="auto"/>
          <w:kern w:val="2"/>
          <w:sz w:val="22"/>
          <w:szCs w:val="22"/>
          <w:highlight w:val="none"/>
          <w:u w:val="single"/>
          <w:lang w:val="en-US" w:eastAsia="zh-CN"/>
        </w:rPr>
        <w:t>叁</w:t>
      </w:r>
      <w:r>
        <w:rPr>
          <w:rFonts w:hint="eastAsia" w:ascii="宋体" w:hAnsi="宋体" w:eastAsia="宋体" w:cs="宋体"/>
          <w:b w:val="0"/>
          <w:color w:val="auto"/>
          <w:kern w:val="2"/>
          <w:sz w:val="22"/>
          <w:szCs w:val="22"/>
          <w:highlight w:val="none"/>
          <w:u w:val="single"/>
          <w:lang w:val="en-US" w:eastAsia="zh-CN"/>
        </w:rPr>
        <w:t>拾万元作为</w:t>
      </w:r>
      <w:r>
        <w:rPr>
          <w:rFonts w:hint="eastAsia" w:ascii="宋体" w:hAnsi="宋体" w:eastAsia="宋体" w:cs="宋体"/>
          <w:b w:val="0"/>
          <w:color w:val="auto"/>
          <w:kern w:val="2"/>
          <w:sz w:val="22"/>
          <w:szCs w:val="22"/>
          <w:highlight w:val="none"/>
          <w:u w:val="single"/>
        </w:rPr>
        <w:t>履约保证金</w:t>
      </w:r>
      <w:r>
        <w:rPr>
          <w:rFonts w:hint="eastAsia" w:ascii="宋体" w:hAnsi="宋体" w:eastAsia="宋体" w:cs="宋体"/>
          <w:bCs/>
          <w:color w:val="auto"/>
          <w:sz w:val="22"/>
          <w:szCs w:val="22"/>
          <w:highlight w:val="none"/>
          <w:u w:val="single"/>
        </w:rPr>
        <w:t>（</w:t>
      </w:r>
      <w:r>
        <w:rPr>
          <w:rFonts w:hint="eastAsia" w:ascii="宋体" w:hAnsi="宋体" w:eastAsia="宋体" w:cs="宋体"/>
          <w:bCs/>
          <w:color w:val="auto"/>
          <w:sz w:val="22"/>
          <w:szCs w:val="22"/>
          <w:highlight w:val="none"/>
          <w:u w:val="single"/>
          <w:lang w:eastAsia="zh-CN"/>
        </w:rPr>
        <w:t>以电汇或银行转账</w:t>
      </w:r>
      <w:r>
        <w:rPr>
          <w:rFonts w:hint="eastAsia" w:ascii="宋体" w:hAnsi="宋体" w:eastAsia="宋体" w:cs="宋体"/>
          <w:bCs/>
          <w:color w:val="auto"/>
          <w:sz w:val="22"/>
          <w:szCs w:val="22"/>
          <w:highlight w:val="none"/>
          <w:u w:val="single"/>
        </w:rPr>
        <w:t>等非现金形式提交</w:t>
      </w:r>
      <w:r>
        <w:rPr>
          <w:rFonts w:hint="eastAsia" w:ascii="宋体" w:hAnsi="宋体" w:eastAsia="宋体" w:cs="宋体"/>
          <w:bCs/>
          <w:color w:val="auto"/>
          <w:sz w:val="22"/>
          <w:szCs w:val="22"/>
          <w:highlight w:val="none"/>
          <w:u w:val="single"/>
          <w:lang w:eastAsia="zh-CN"/>
        </w:rPr>
        <w:t>）</w:t>
      </w:r>
      <w:r>
        <w:rPr>
          <w:rFonts w:hint="eastAsia" w:ascii="宋体" w:hAnsi="宋体" w:eastAsia="宋体" w:cs="宋体"/>
          <w:bCs/>
          <w:color w:val="auto"/>
          <w:sz w:val="22"/>
          <w:szCs w:val="22"/>
          <w:highlight w:val="none"/>
          <w:u w:val="single"/>
        </w:rPr>
        <w:t>。</w:t>
      </w:r>
    </w:p>
    <w:p w14:paraId="39679FE5">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color w:val="auto"/>
          <w:sz w:val="22"/>
          <w:szCs w:val="22"/>
          <w:highlight w:val="none"/>
          <w:lang w:eastAsia="zh-CN"/>
        </w:rPr>
      </w:pPr>
      <w:r>
        <w:rPr>
          <w:rFonts w:hint="eastAsia" w:ascii="宋体" w:hAnsi="宋体" w:eastAsia="宋体" w:cs="宋体"/>
          <w:b/>
          <w:color w:val="auto"/>
          <w:sz w:val="22"/>
          <w:szCs w:val="22"/>
          <w:highlight w:val="none"/>
          <w:lang w:val="en-US" w:eastAsia="zh-CN"/>
        </w:rPr>
        <w:t>四、</w:t>
      </w:r>
      <w:r>
        <w:rPr>
          <w:rFonts w:hint="eastAsia" w:ascii="宋体" w:hAnsi="宋体" w:eastAsia="宋体" w:cs="宋体"/>
          <w:b/>
          <w:color w:val="auto"/>
          <w:sz w:val="22"/>
          <w:szCs w:val="22"/>
          <w:highlight w:val="none"/>
          <w:lang w:eastAsia="zh-CN"/>
        </w:rPr>
        <w:t>服务内容及要求</w:t>
      </w:r>
    </w:p>
    <w:p w14:paraId="37F71C53">
      <w:pPr>
        <w:pStyle w:val="5"/>
        <w:keepNext w:val="0"/>
        <w:keepLines w:val="0"/>
        <w:pageBreakBefore w:val="0"/>
        <w:widowControl w:val="0"/>
        <w:suppressLineNumbers w:val="0"/>
        <w:kinsoku/>
        <w:overflowPunct/>
        <w:topLinePunct w:val="0"/>
        <w:autoSpaceDE w:val="0"/>
        <w:autoSpaceDN/>
        <w:bidi w:val="0"/>
        <w:adjustRightInd/>
        <w:snapToGrid w:val="0"/>
        <w:spacing w:before="0" w:beforeAutospacing="0" w:afterAutospacing="0" w:line="360" w:lineRule="auto"/>
        <w:ind w:right="0" w:firstLine="440" w:firstLineChars="200"/>
        <w:textAlignment w:val="auto"/>
        <w:rPr>
          <w:rFonts w:hint="eastAsia" w:ascii="宋体" w:hAnsi="宋体" w:eastAsia="宋体" w:cs="宋体"/>
          <w:color w:val="auto"/>
          <w:kern w:val="2"/>
          <w:sz w:val="22"/>
          <w:szCs w:val="22"/>
          <w:highlight w:val="none"/>
          <w:u w:val="none"/>
          <w:lang w:val="en-US" w:eastAsia="zh-CN"/>
        </w:rPr>
      </w:pPr>
      <w:bookmarkStart w:id="6" w:name="_Toc13441"/>
      <w:r>
        <w:rPr>
          <w:rFonts w:hint="eastAsia" w:ascii="宋体" w:hAnsi="宋体" w:eastAsia="宋体" w:cs="宋体"/>
          <w:color w:val="auto"/>
          <w:kern w:val="2"/>
          <w:sz w:val="22"/>
          <w:szCs w:val="22"/>
          <w:highlight w:val="none"/>
          <w:u w:val="none"/>
          <w:lang w:val="en-US" w:eastAsia="zh-CN"/>
        </w:rPr>
        <w:t>（一）食堂</w:t>
      </w:r>
    </w:p>
    <w:p w14:paraId="44971B5A">
      <w:pPr>
        <w:pStyle w:val="5"/>
        <w:keepNext w:val="0"/>
        <w:keepLines w:val="0"/>
        <w:pageBreakBefore w:val="0"/>
        <w:widowControl w:val="0"/>
        <w:suppressLineNumbers w:val="0"/>
        <w:kinsoku/>
        <w:overflowPunct/>
        <w:topLinePunct w:val="0"/>
        <w:autoSpaceDE w:val="0"/>
        <w:autoSpaceDN/>
        <w:bidi w:val="0"/>
        <w:adjustRightInd/>
        <w:snapToGrid w:val="0"/>
        <w:spacing w:before="0" w:beforeAutospacing="0" w:afterAutospacing="0" w:line="360" w:lineRule="auto"/>
        <w:ind w:right="0" w:firstLine="440" w:firstLineChars="200"/>
        <w:textAlignment w:val="auto"/>
        <w:rPr>
          <w:rFonts w:hint="eastAsia" w:ascii="宋体" w:hAnsi="宋体" w:eastAsia="宋体" w:cs="宋体"/>
          <w:color w:val="auto"/>
          <w:kern w:val="2"/>
          <w:sz w:val="22"/>
          <w:szCs w:val="22"/>
          <w:highlight w:val="none"/>
          <w:u w:val="none"/>
          <w:lang w:val="en-US" w:eastAsia="zh-CN"/>
        </w:rPr>
      </w:pPr>
      <w:r>
        <w:rPr>
          <w:rFonts w:hint="eastAsia" w:ascii="宋体" w:hAnsi="宋体" w:eastAsia="宋体" w:cs="宋体"/>
          <w:color w:val="auto"/>
          <w:kern w:val="2"/>
          <w:sz w:val="22"/>
          <w:szCs w:val="22"/>
          <w:highlight w:val="none"/>
          <w:u w:val="none"/>
          <w:lang w:val="en-US" w:eastAsia="zh-CN"/>
        </w:rPr>
        <w:t>1.服务内容：</w:t>
      </w:r>
    </w:p>
    <w:p w14:paraId="131C7F2D">
      <w:pPr>
        <w:pStyle w:val="5"/>
        <w:keepNext w:val="0"/>
        <w:keepLines w:val="0"/>
        <w:pageBreakBefore w:val="0"/>
        <w:widowControl w:val="0"/>
        <w:suppressLineNumbers w:val="0"/>
        <w:kinsoku/>
        <w:overflowPunct/>
        <w:topLinePunct w:val="0"/>
        <w:autoSpaceDE w:val="0"/>
        <w:autoSpaceDN/>
        <w:bidi w:val="0"/>
        <w:adjustRightInd/>
        <w:snapToGrid w:val="0"/>
        <w:spacing w:before="0" w:beforeAutospacing="0" w:afterAutospacing="0" w:line="360" w:lineRule="auto"/>
        <w:ind w:right="0" w:firstLine="440" w:firstLineChars="200"/>
        <w:textAlignment w:val="auto"/>
        <w:rPr>
          <w:rFonts w:hint="eastAsia" w:ascii="宋体" w:hAnsi="宋体" w:eastAsia="宋体" w:cs="宋体"/>
          <w:color w:val="auto"/>
          <w:kern w:val="2"/>
          <w:sz w:val="22"/>
          <w:szCs w:val="22"/>
          <w:highlight w:val="none"/>
          <w:u w:val="none"/>
          <w:lang w:val="en-US" w:eastAsia="zh-CN"/>
        </w:rPr>
      </w:pPr>
      <w:r>
        <w:rPr>
          <w:rFonts w:hint="eastAsia" w:ascii="宋体" w:hAnsi="宋体" w:eastAsia="宋体" w:cs="宋体"/>
          <w:color w:val="auto"/>
          <w:kern w:val="2"/>
          <w:sz w:val="22"/>
          <w:szCs w:val="22"/>
          <w:highlight w:val="none"/>
          <w:u w:val="none"/>
          <w:lang w:val="en-US" w:eastAsia="zh-CN"/>
        </w:rPr>
        <w:t>（1）</w:t>
      </w:r>
      <w:r>
        <w:rPr>
          <w:rFonts w:hint="eastAsia" w:ascii="宋体" w:hAnsi="宋体" w:eastAsia="宋体" w:cs="宋体"/>
          <w:color w:val="auto"/>
          <w:sz w:val="22"/>
          <w:szCs w:val="22"/>
          <w:highlight w:val="none"/>
          <w:u w:val="none"/>
        </w:rPr>
        <w:t>根据学校实际情况和师生餐饮需求制定合理的经营时间</w:t>
      </w:r>
      <w:r>
        <w:rPr>
          <w:rFonts w:hint="eastAsia" w:ascii="宋体" w:hAnsi="宋体" w:eastAsia="宋体" w:cs="宋体"/>
          <w:color w:val="auto"/>
          <w:kern w:val="2"/>
          <w:sz w:val="22"/>
          <w:szCs w:val="22"/>
          <w:highlight w:val="none"/>
          <w:u w:val="none"/>
        </w:rPr>
        <w:t>，</w:t>
      </w:r>
      <w:r>
        <w:rPr>
          <w:rFonts w:hint="eastAsia" w:ascii="宋体" w:hAnsi="宋体" w:eastAsia="宋体" w:cs="宋体"/>
          <w:color w:val="auto"/>
          <w:kern w:val="2"/>
          <w:sz w:val="22"/>
          <w:szCs w:val="22"/>
          <w:highlight w:val="none"/>
          <w:u w:val="none"/>
          <w:lang w:val="en-US" w:eastAsia="zh-CN"/>
        </w:rPr>
        <w:t>投标人经营时间与餐次：每天6:30—20:00(含早、中、晚餐)，其中行政楼餐厅教学周周一至周五6:30—14:00。学校有关部门另有规定或调整要求的(包括寒暑假是否开放)，从其规定。</w:t>
      </w:r>
    </w:p>
    <w:p w14:paraId="19E15EA4">
      <w:pPr>
        <w:pStyle w:val="5"/>
        <w:keepNext w:val="0"/>
        <w:keepLines w:val="0"/>
        <w:pageBreakBefore w:val="0"/>
        <w:widowControl w:val="0"/>
        <w:suppressLineNumbers w:val="0"/>
        <w:kinsoku/>
        <w:overflowPunct/>
        <w:topLinePunct w:val="0"/>
        <w:autoSpaceDE w:val="0"/>
        <w:autoSpaceDN/>
        <w:bidi w:val="0"/>
        <w:adjustRightInd/>
        <w:snapToGrid w:val="0"/>
        <w:spacing w:before="0" w:beforeAutospacing="0" w:afterAutospacing="0" w:line="360" w:lineRule="auto"/>
        <w:ind w:right="0" w:firstLine="440" w:firstLineChars="200"/>
        <w:textAlignment w:val="auto"/>
        <w:rPr>
          <w:rFonts w:hint="eastAsia" w:ascii="宋体" w:hAnsi="宋体" w:eastAsia="宋体" w:cs="宋体"/>
          <w:color w:val="auto"/>
          <w:kern w:val="2"/>
          <w:sz w:val="22"/>
          <w:szCs w:val="22"/>
          <w:highlight w:val="none"/>
          <w:u w:val="none"/>
          <w:lang w:val="en-US" w:eastAsia="zh-CN"/>
        </w:rPr>
      </w:pPr>
      <w:r>
        <w:rPr>
          <w:rFonts w:hint="eastAsia" w:ascii="宋体" w:hAnsi="宋体" w:eastAsia="宋体" w:cs="宋体"/>
          <w:color w:val="auto"/>
          <w:kern w:val="2"/>
          <w:sz w:val="22"/>
          <w:szCs w:val="22"/>
          <w:highlight w:val="none"/>
          <w:u w:val="none"/>
          <w:lang w:val="en-US" w:eastAsia="zh-CN"/>
        </w:rPr>
        <w:t>（2）早餐需要提供不少于20个品种的样式选择，其中馒头、包子、豆浆、水饺、大饼等需投标人手工制作。</w:t>
      </w:r>
    </w:p>
    <w:p w14:paraId="624E01A0">
      <w:pPr>
        <w:pStyle w:val="5"/>
        <w:keepNext w:val="0"/>
        <w:keepLines w:val="0"/>
        <w:pageBreakBefore w:val="0"/>
        <w:widowControl w:val="0"/>
        <w:suppressLineNumbers w:val="0"/>
        <w:kinsoku/>
        <w:overflowPunct/>
        <w:topLinePunct w:val="0"/>
        <w:autoSpaceDE w:val="0"/>
        <w:autoSpaceDN/>
        <w:bidi w:val="0"/>
        <w:adjustRightInd/>
        <w:snapToGrid w:val="0"/>
        <w:spacing w:before="0" w:beforeAutospacing="0" w:afterAutospacing="0" w:line="360" w:lineRule="auto"/>
        <w:ind w:right="0" w:firstLine="442" w:firstLineChars="200"/>
        <w:textAlignment w:val="auto"/>
        <w:rPr>
          <w:rFonts w:hint="eastAsia" w:ascii="宋体" w:hAnsi="宋体" w:eastAsia="宋体" w:cs="宋体"/>
          <w:b/>
          <w:bCs/>
          <w:color w:val="auto"/>
          <w:kern w:val="2"/>
          <w:sz w:val="22"/>
          <w:szCs w:val="22"/>
          <w:highlight w:val="none"/>
          <w:u w:val="none"/>
          <w:lang w:val="en-US" w:eastAsia="zh-CN"/>
        </w:rPr>
      </w:pPr>
      <w:r>
        <w:rPr>
          <w:rFonts w:hint="eastAsia" w:ascii="宋体" w:hAnsi="宋体" w:eastAsia="宋体" w:cs="宋体"/>
          <w:b/>
          <w:bCs/>
          <w:color w:val="auto"/>
          <w:kern w:val="2"/>
          <w:sz w:val="22"/>
          <w:szCs w:val="22"/>
          <w:highlight w:val="none"/>
          <w:u w:val="none"/>
          <w:lang w:val="en-US" w:eastAsia="zh-CN"/>
        </w:rPr>
        <w:t>2.服务模式</w:t>
      </w:r>
    </w:p>
    <w:p w14:paraId="10C09655">
      <w:pPr>
        <w:pStyle w:val="5"/>
        <w:keepNext w:val="0"/>
        <w:keepLines w:val="0"/>
        <w:pageBreakBefore w:val="0"/>
        <w:widowControl w:val="0"/>
        <w:suppressLineNumbers w:val="0"/>
        <w:kinsoku/>
        <w:overflowPunct/>
        <w:topLinePunct w:val="0"/>
        <w:autoSpaceDE w:val="0"/>
        <w:autoSpaceDN/>
        <w:bidi w:val="0"/>
        <w:adjustRightInd/>
        <w:snapToGrid w:val="0"/>
        <w:spacing w:before="0" w:beforeAutospacing="0" w:afterAutospacing="0" w:line="360" w:lineRule="auto"/>
        <w:ind w:right="0" w:firstLine="442" w:firstLineChars="200"/>
        <w:textAlignment w:val="auto"/>
        <w:rPr>
          <w:rFonts w:hint="eastAsia" w:ascii="宋体" w:hAnsi="宋体" w:eastAsia="宋体" w:cs="宋体"/>
          <w:b/>
          <w:bCs/>
          <w:color w:val="auto"/>
          <w:kern w:val="2"/>
          <w:sz w:val="22"/>
          <w:szCs w:val="22"/>
          <w:highlight w:val="none"/>
          <w:u w:val="none"/>
          <w:lang w:val="en-US" w:eastAsia="zh-CN"/>
        </w:rPr>
      </w:pPr>
      <w:r>
        <w:rPr>
          <w:rFonts w:hint="eastAsia" w:ascii="宋体" w:hAnsi="宋体" w:eastAsia="宋体" w:cs="宋体"/>
          <w:b/>
          <w:bCs/>
          <w:color w:val="auto"/>
          <w:kern w:val="2"/>
          <w:sz w:val="22"/>
          <w:szCs w:val="22"/>
          <w:highlight w:val="none"/>
          <w:u w:val="none"/>
          <w:lang w:val="en-US" w:eastAsia="zh-CN"/>
        </w:rPr>
        <w:t>（1）以大众快餐为主，风味小吃与特色品牌档口为辅。具体档口数以实际场地和装修设计落地为准。餐厅和档口需满足温州市A级餐厅建设与管理标准。须保证日常学生食堂饭菜价格明显低于校外同类餐饮水平，在物价大幅上涨的情况下，学生食堂饭菜价格基本稳定。大众快餐总菜品每天午餐、晚餐均须不少于30个，每餐提供2个免费汤，免费汤与前一天不重样；每餐免费足量提供调味小菜（榨菜、老干妈、花生米、辣椒酱、酱油醋等）。</w:t>
      </w:r>
    </w:p>
    <w:p w14:paraId="502361C6">
      <w:pPr>
        <w:pStyle w:val="5"/>
        <w:keepNext w:val="0"/>
        <w:keepLines w:val="0"/>
        <w:pageBreakBefore w:val="0"/>
        <w:widowControl w:val="0"/>
        <w:suppressLineNumbers w:val="0"/>
        <w:kinsoku/>
        <w:overflowPunct/>
        <w:topLinePunct w:val="0"/>
        <w:autoSpaceDE w:val="0"/>
        <w:autoSpaceDN/>
        <w:bidi w:val="0"/>
        <w:adjustRightInd/>
        <w:snapToGrid w:val="0"/>
        <w:spacing w:before="0" w:beforeAutospacing="0" w:afterAutospacing="0" w:line="360" w:lineRule="auto"/>
        <w:ind w:right="0" w:firstLine="442" w:firstLineChars="200"/>
        <w:textAlignment w:val="auto"/>
        <w:rPr>
          <w:rFonts w:hint="eastAsia" w:ascii="宋体" w:hAnsi="宋体" w:eastAsia="宋体" w:cs="宋体"/>
          <w:b/>
          <w:bCs/>
          <w:color w:val="auto"/>
          <w:kern w:val="2"/>
          <w:sz w:val="22"/>
          <w:szCs w:val="22"/>
          <w:highlight w:val="none"/>
          <w:u w:val="none"/>
          <w:lang w:val="en-US" w:eastAsia="zh-CN"/>
        </w:rPr>
      </w:pPr>
      <w:r>
        <w:rPr>
          <w:rFonts w:hint="eastAsia" w:ascii="宋体" w:hAnsi="宋体" w:eastAsia="宋体" w:cs="宋体"/>
          <w:b/>
          <w:bCs/>
          <w:color w:val="auto"/>
          <w:kern w:val="2"/>
          <w:sz w:val="22"/>
          <w:szCs w:val="22"/>
          <w:highlight w:val="none"/>
          <w:u w:val="none"/>
          <w:lang w:val="en-US" w:eastAsia="zh-CN"/>
        </w:rPr>
        <w:t>大众快餐：总菜品每天午餐、晚餐均须不少于30个，其中20个要求每天按照3</w:t>
      </w:r>
      <w:r>
        <w:rPr>
          <w:rFonts w:hint="eastAsia" w:hAnsi="宋体" w:cs="宋体"/>
          <w:b/>
          <w:bCs/>
          <w:color w:val="auto"/>
          <w:kern w:val="2"/>
          <w:sz w:val="22"/>
          <w:szCs w:val="22"/>
          <w:highlight w:val="none"/>
          <w:u w:val="none"/>
          <w:lang w:val="en-US" w:eastAsia="zh-CN"/>
        </w:rPr>
        <w:t>:</w:t>
      </w:r>
      <w:r>
        <w:rPr>
          <w:rFonts w:hint="eastAsia" w:ascii="宋体" w:hAnsi="宋体" w:eastAsia="宋体" w:cs="宋体"/>
          <w:b/>
          <w:bCs/>
          <w:color w:val="auto"/>
          <w:kern w:val="2"/>
          <w:sz w:val="22"/>
          <w:szCs w:val="22"/>
          <w:highlight w:val="none"/>
          <w:u w:val="none"/>
          <w:lang w:val="en-US" w:eastAsia="zh-CN"/>
        </w:rPr>
        <w:t>4</w:t>
      </w:r>
      <w:r>
        <w:rPr>
          <w:rFonts w:hint="eastAsia" w:hAnsi="宋体" w:cs="宋体"/>
          <w:b/>
          <w:bCs/>
          <w:color w:val="auto"/>
          <w:kern w:val="2"/>
          <w:sz w:val="22"/>
          <w:szCs w:val="22"/>
          <w:highlight w:val="none"/>
          <w:u w:val="none"/>
          <w:lang w:val="en-US" w:eastAsia="zh-CN"/>
        </w:rPr>
        <w:t>:</w:t>
      </w:r>
      <w:r>
        <w:rPr>
          <w:rFonts w:hint="eastAsia" w:ascii="宋体" w:hAnsi="宋体" w:eastAsia="宋体" w:cs="宋体"/>
          <w:b/>
          <w:bCs/>
          <w:color w:val="auto"/>
          <w:kern w:val="2"/>
          <w:sz w:val="22"/>
          <w:szCs w:val="22"/>
          <w:highlight w:val="none"/>
          <w:u w:val="none"/>
          <w:lang w:val="en-US" w:eastAsia="zh-CN"/>
        </w:rPr>
        <w:t>3</w:t>
      </w:r>
      <w:r>
        <w:rPr>
          <w:rFonts w:hint="eastAsia" w:hAnsi="宋体" w:cs="宋体"/>
          <w:b/>
          <w:bCs/>
          <w:color w:val="auto"/>
          <w:kern w:val="2"/>
          <w:sz w:val="22"/>
          <w:szCs w:val="22"/>
          <w:highlight w:val="none"/>
          <w:u w:val="none"/>
          <w:lang w:val="en-US" w:eastAsia="zh-CN"/>
        </w:rPr>
        <w:t>【</w:t>
      </w:r>
      <w:r>
        <w:rPr>
          <w:rFonts w:hint="eastAsia" w:ascii="宋体" w:hAnsi="宋体" w:eastAsia="宋体" w:cs="宋体"/>
          <w:b/>
          <w:bCs/>
          <w:color w:val="auto"/>
          <w:kern w:val="2"/>
          <w:sz w:val="22"/>
          <w:szCs w:val="22"/>
          <w:highlight w:val="none"/>
          <w:u w:val="none"/>
          <w:lang w:val="en-US" w:eastAsia="zh-CN"/>
        </w:rPr>
        <w:t>高价(4.1—6元)：中价(2.1—4元)：低价(0.5—2元）</w:t>
      </w:r>
      <w:r>
        <w:rPr>
          <w:rFonts w:hint="eastAsia" w:hAnsi="宋体" w:cs="宋体"/>
          <w:b/>
          <w:bCs/>
          <w:color w:val="auto"/>
          <w:kern w:val="2"/>
          <w:sz w:val="22"/>
          <w:szCs w:val="22"/>
          <w:highlight w:val="none"/>
          <w:u w:val="none"/>
          <w:lang w:val="en-US" w:eastAsia="zh-CN"/>
        </w:rPr>
        <w:t>】</w:t>
      </w:r>
      <w:r>
        <w:rPr>
          <w:rFonts w:hint="eastAsia" w:ascii="宋体" w:hAnsi="宋体" w:eastAsia="宋体" w:cs="宋体"/>
          <w:b/>
          <w:bCs/>
          <w:color w:val="auto"/>
          <w:kern w:val="2"/>
          <w:sz w:val="22"/>
          <w:szCs w:val="22"/>
          <w:highlight w:val="none"/>
          <w:u w:val="none"/>
          <w:lang w:val="en-US" w:eastAsia="zh-CN"/>
        </w:rPr>
        <w:t>的比例供应。同时无限量供应爱心套餐：5.5元/份的一荤两素的快餐和3元/份的咸菜</w:t>
      </w:r>
      <w:r>
        <w:rPr>
          <w:rFonts w:hint="eastAsia" w:hAnsi="宋体" w:cs="宋体"/>
          <w:b/>
          <w:bCs/>
          <w:color w:val="auto"/>
          <w:kern w:val="2"/>
          <w:sz w:val="22"/>
          <w:szCs w:val="22"/>
          <w:highlight w:val="none"/>
          <w:u w:val="none"/>
          <w:lang w:val="en-US" w:eastAsia="zh-CN"/>
        </w:rPr>
        <w:t>肉末</w:t>
      </w:r>
      <w:r>
        <w:rPr>
          <w:rFonts w:hint="eastAsia" w:ascii="宋体" w:hAnsi="宋体" w:eastAsia="宋体" w:cs="宋体"/>
          <w:b/>
          <w:bCs/>
          <w:color w:val="auto"/>
          <w:kern w:val="2"/>
          <w:sz w:val="22"/>
          <w:szCs w:val="22"/>
          <w:highlight w:val="none"/>
          <w:u w:val="none"/>
          <w:lang w:val="en-US" w:eastAsia="zh-CN"/>
        </w:rPr>
        <w:t>汤面。</w:t>
      </w:r>
    </w:p>
    <w:p w14:paraId="52865261">
      <w:pPr>
        <w:pStyle w:val="5"/>
        <w:keepNext w:val="0"/>
        <w:keepLines w:val="0"/>
        <w:pageBreakBefore w:val="0"/>
        <w:widowControl w:val="0"/>
        <w:suppressLineNumbers w:val="0"/>
        <w:kinsoku/>
        <w:overflowPunct/>
        <w:topLinePunct w:val="0"/>
        <w:autoSpaceDE w:val="0"/>
        <w:autoSpaceDN/>
        <w:bidi w:val="0"/>
        <w:adjustRightInd/>
        <w:snapToGrid w:val="0"/>
        <w:spacing w:before="0" w:beforeAutospacing="0" w:afterAutospacing="0" w:line="360" w:lineRule="auto"/>
        <w:ind w:right="0" w:firstLine="442" w:firstLineChars="200"/>
        <w:textAlignment w:val="auto"/>
        <w:rPr>
          <w:rFonts w:hint="eastAsia" w:ascii="宋体" w:hAnsi="宋体" w:eastAsia="宋体" w:cs="宋体"/>
          <w:b/>
          <w:bCs/>
          <w:color w:val="auto"/>
          <w:kern w:val="2"/>
          <w:sz w:val="22"/>
          <w:szCs w:val="22"/>
          <w:highlight w:val="none"/>
          <w:u w:val="none"/>
          <w:lang w:val="en-US" w:eastAsia="zh-CN"/>
        </w:rPr>
      </w:pPr>
      <w:r>
        <w:rPr>
          <w:rFonts w:hint="eastAsia" w:ascii="宋体" w:hAnsi="宋体" w:eastAsia="宋体" w:cs="宋体"/>
          <w:b/>
          <w:bCs/>
          <w:color w:val="auto"/>
          <w:kern w:val="2"/>
          <w:sz w:val="22"/>
          <w:szCs w:val="22"/>
          <w:highlight w:val="none"/>
          <w:u w:val="none"/>
          <w:lang w:val="en-US" w:eastAsia="zh-CN"/>
        </w:rPr>
        <w:t>（2）投标人在校方举办运动会、军训、开学迎新等大型文体活动期间免费提供“茯茶、姜汤、绿豆汤”等季节性茶饮，并协助相关校园活动开展。</w:t>
      </w:r>
    </w:p>
    <w:p w14:paraId="54831A56">
      <w:pPr>
        <w:pStyle w:val="5"/>
        <w:keepNext w:val="0"/>
        <w:keepLines w:val="0"/>
        <w:pageBreakBefore w:val="0"/>
        <w:widowControl w:val="0"/>
        <w:suppressLineNumbers w:val="0"/>
        <w:kinsoku/>
        <w:overflowPunct/>
        <w:topLinePunct w:val="0"/>
        <w:autoSpaceDE w:val="0"/>
        <w:autoSpaceDN/>
        <w:bidi w:val="0"/>
        <w:adjustRightInd/>
        <w:snapToGrid w:val="0"/>
        <w:spacing w:before="0" w:beforeAutospacing="0" w:afterAutospacing="0" w:line="360" w:lineRule="auto"/>
        <w:ind w:right="0" w:firstLine="442" w:firstLineChars="200"/>
        <w:textAlignment w:val="auto"/>
        <w:rPr>
          <w:rFonts w:hint="eastAsia" w:ascii="宋体" w:hAnsi="宋体" w:eastAsia="宋体" w:cs="宋体"/>
          <w:b/>
          <w:bCs/>
          <w:color w:val="auto"/>
          <w:kern w:val="2"/>
          <w:sz w:val="22"/>
          <w:szCs w:val="22"/>
          <w:highlight w:val="none"/>
          <w:u w:val="none"/>
          <w:lang w:val="en-US" w:eastAsia="zh-CN"/>
        </w:rPr>
      </w:pPr>
      <w:r>
        <w:rPr>
          <w:rFonts w:hint="eastAsia" w:ascii="宋体" w:hAnsi="宋体" w:eastAsia="宋体" w:cs="宋体"/>
          <w:b/>
          <w:bCs/>
          <w:color w:val="auto"/>
          <w:kern w:val="2"/>
          <w:sz w:val="22"/>
          <w:szCs w:val="22"/>
          <w:highlight w:val="none"/>
          <w:u w:val="none"/>
          <w:lang w:val="en-US" w:eastAsia="zh-CN"/>
        </w:rPr>
        <w:t>（3）投标人所有菜品、饮料定价及档口调整方案须</w:t>
      </w:r>
      <w:r>
        <w:rPr>
          <w:rFonts w:hint="default" w:ascii="宋体" w:hAnsi="宋体" w:eastAsia="宋体" w:cs="宋体"/>
          <w:b/>
          <w:bCs/>
          <w:color w:val="auto"/>
          <w:kern w:val="2"/>
          <w:sz w:val="22"/>
          <w:szCs w:val="22"/>
          <w:highlight w:val="none"/>
          <w:u w:val="none"/>
          <w:lang w:val="en-US" w:eastAsia="zh-CN"/>
        </w:rPr>
        <w:t>提前报</w:t>
      </w:r>
      <w:r>
        <w:rPr>
          <w:rFonts w:hint="eastAsia" w:ascii="宋体" w:hAnsi="宋体" w:eastAsia="宋体" w:cs="宋体"/>
          <w:b/>
          <w:bCs/>
          <w:color w:val="auto"/>
          <w:kern w:val="2"/>
          <w:sz w:val="22"/>
          <w:szCs w:val="22"/>
          <w:highlight w:val="none"/>
          <w:u w:val="none"/>
          <w:lang w:val="en-US" w:eastAsia="zh-CN"/>
        </w:rPr>
        <w:t>采购人</w:t>
      </w:r>
      <w:r>
        <w:rPr>
          <w:rFonts w:hint="default" w:ascii="宋体" w:hAnsi="宋体" w:eastAsia="宋体" w:cs="宋体"/>
          <w:b/>
          <w:bCs/>
          <w:color w:val="auto"/>
          <w:kern w:val="2"/>
          <w:sz w:val="22"/>
          <w:szCs w:val="22"/>
          <w:highlight w:val="none"/>
          <w:u w:val="none"/>
          <w:lang w:val="en-US" w:eastAsia="zh-CN"/>
        </w:rPr>
        <w:t>书面审批。定价</w:t>
      </w:r>
      <w:r>
        <w:rPr>
          <w:rFonts w:hint="eastAsia" w:ascii="宋体" w:hAnsi="宋体" w:eastAsia="宋体" w:cs="宋体"/>
          <w:b/>
          <w:bCs/>
          <w:color w:val="auto"/>
          <w:kern w:val="2"/>
          <w:sz w:val="22"/>
          <w:szCs w:val="22"/>
          <w:highlight w:val="none"/>
          <w:u w:val="none"/>
          <w:lang w:val="en-US" w:eastAsia="zh-CN"/>
        </w:rPr>
        <w:t>不高于周边其他高校价格或同类社会市场价格</w:t>
      </w:r>
      <w:r>
        <w:rPr>
          <w:rFonts w:hint="default" w:ascii="宋体" w:hAnsi="宋体" w:eastAsia="宋体" w:cs="宋体"/>
          <w:b/>
          <w:bCs/>
          <w:color w:val="auto"/>
          <w:kern w:val="2"/>
          <w:sz w:val="22"/>
          <w:szCs w:val="22"/>
          <w:highlight w:val="none"/>
          <w:u w:val="none"/>
          <w:lang w:val="en-US" w:eastAsia="zh-CN"/>
        </w:rPr>
        <w:t>，符合食品安全标准；所有商品必须明码标价公示，禁止收取未公示费用；档口设置及品类变更须经</w:t>
      </w:r>
      <w:r>
        <w:rPr>
          <w:rFonts w:hint="eastAsia" w:ascii="宋体" w:hAnsi="宋体" w:eastAsia="宋体" w:cs="宋体"/>
          <w:b/>
          <w:bCs/>
          <w:color w:val="auto"/>
          <w:kern w:val="2"/>
          <w:sz w:val="22"/>
          <w:szCs w:val="22"/>
          <w:highlight w:val="none"/>
          <w:u w:val="none"/>
          <w:lang w:val="en-US" w:eastAsia="zh-CN"/>
        </w:rPr>
        <w:t>采购人</w:t>
      </w:r>
      <w:r>
        <w:rPr>
          <w:rFonts w:hint="default" w:ascii="宋体" w:hAnsi="宋体" w:eastAsia="宋体" w:cs="宋体"/>
          <w:b/>
          <w:bCs/>
          <w:color w:val="auto"/>
          <w:kern w:val="2"/>
          <w:sz w:val="22"/>
          <w:szCs w:val="22"/>
          <w:highlight w:val="none"/>
          <w:u w:val="none"/>
          <w:lang w:val="en-US" w:eastAsia="zh-CN"/>
        </w:rPr>
        <w:t>审批后执行。</w:t>
      </w:r>
    </w:p>
    <w:p w14:paraId="48DC641B">
      <w:pPr>
        <w:pStyle w:val="5"/>
        <w:keepNext w:val="0"/>
        <w:keepLines w:val="0"/>
        <w:pageBreakBefore w:val="0"/>
        <w:widowControl w:val="0"/>
        <w:suppressLineNumbers w:val="0"/>
        <w:kinsoku/>
        <w:overflowPunct/>
        <w:topLinePunct w:val="0"/>
        <w:autoSpaceDE w:val="0"/>
        <w:autoSpaceDN/>
        <w:bidi w:val="0"/>
        <w:adjustRightInd/>
        <w:snapToGrid w:val="0"/>
        <w:spacing w:before="0" w:beforeAutospacing="0" w:afterAutospacing="0" w:line="360" w:lineRule="auto"/>
        <w:ind w:right="0" w:firstLine="440" w:firstLineChars="200"/>
        <w:textAlignment w:val="auto"/>
        <w:rPr>
          <w:rFonts w:hint="eastAsia" w:ascii="宋体" w:hAnsi="宋体" w:eastAsia="宋体" w:cs="宋体"/>
          <w:color w:val="auto"/>
          <w:kern w:val="2"/>
          <w:sz w:val="22"/>
          <w:szCs w:val="22"/>
          <w:highlight w:val="none"/>
          <w:u w:val="none"/>
          <w:lang w:val="en-US" w:eastAsia="zh-CN"/>
        </w:rPr>
      </w:pPr>
      <w:r>
        <w:rPr>
          <w:rFonts w:hint="eastAsia" w:ascii="宋体" w:hAnsi="宋体" w:eastAsia="宋体" w:cs="宋体"/>
          <w:color w:val="auto"/>
          <w:kern w:val="2"/>
          <w:sz w:val="22"/>
          <w:szCs w:val="22"/>
          <w:highlight w:val="none"/>
          <w:u w:val="none"/>
          <w:lang w:val="en-US" w:eastAsia="zh-CN"/>
        </w:rPr>
        <w:t>（二）其他要求</w:t>
      </w:r>
    </w:p>
    <w:p w14:paraId="6AC55515">
      <w:pPr>
        <w:pStyle w:val="5"/>
        <w:keepNext w:val="0"/>
        <w:keepLines w:val="0"/>
        <w:pageBreakBefore w:val="0"/>
        <w:widowControl w:val="0"/>
        <w:suppressLineNumbers w:val="0"/>
        <w:kinsoku/>
        <w:overflowPunct/>
        <w:topLinePunct w:val="0"/>
        <w:autoSpaceDE w:val="0"/>
        <w:autoSpaceDN/>
        <w:bidi w:val="0"/>
        <w:adjustRightInd/>
        <w:snapToGrid w:val="0"/>
        <w:spacing w:before="0" w:beforeAutospacing="0" w:afterAutospacing="0" w:line="360" w:lineRule="auto"/>
        <w:ind w:right="0" w:firstLine="440" w:firstLineChars="200"/>
        <w:textAlignment w:val="auto"/>
        <w:rPr>
          <w:rFonts w:hint="eastAsia" w:ascii="宋体" w:hAnsi="宋体" w:eastAsia="宋体" w:cs="宋体"/>
          <w:b w:val="0"/>
          <w:bCs w:val="0"/>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rPr>
        <w:t>（1）</w:t>
      </w:r>
      <w:r>
        <w:rPr>
          <w:rFonts w:hint="eastAsia" w:hAnsi="宋体" w:cs="宋体"/>
          <w:color w:val="auto"/>
          <w:kern w:val="2"/>
          <w:sz w:val="22"/>
          <w:szCs w:val="22"/>
          <w:highlight w:val="none"/>
          <w:u w:val="none"/>
          <w:lang w:val="en-US" w:eastAsia="zh-CN"/>
        </w:rPr>
        <w:t>滨海校区</w:t>
      </w:r>
      <w:r>
        <w:rPr>
          <w:rFonts w:hint="eastAsia" w:ascii="宋体" w:hAnsi="宋体" w:eastAsia="宋体" w:cs="宋体"/>
          <w:b w:val="0"/>
          <w:bCs w:val="0"/>
          <w:color w:val="auto"/>
          <w:kern w:val="2"/>
          <w:sz w:val="22"/>
          <w:szCs w:val="22"/>
          <w:highlight w:val="none"/>
          <w:u w:val="none"/>
          <w:lang w:val="en-US" w:eastAsia="zh-CN" w:bidi="ar-SA"/>
        </w:rPr>
        <w:t>壹号餐厅一层采用智慧岛用餐模式；二层大众快餐窗口至少1个，并优化现有档口；三层现有餐座约300个，计划以小炒、轻食为主，注重品质，业态布局由投标人自行设计布局，方案报采购人审批通过后方可执行。</w:t>
      </w:r>
    </w:p>
    <w:p w14:paraId="73A093DC">
      <w:pPr>
        <w:pStyle w:val="5"/>
        <w:keepNext w:val="0"/>
        <w:keepLines w:val="0"/>
        <w:pageBreakBefore w:val="0"/>
        <w:widowControl w:val="0"/>
        <w:suppressLineNumbers w:val="0"/>
        <w:kinsoku/>
        <w:overflowPunct/>
        <w:topLinePunct w:val="0"/>
        <w:autoSpaceDE w:val="0"/>
        <w:autoSpaceDN/>
        <w:bidi w:val="0"/>
        <w:adjustRightInd/>
        <w:snapToGrid w:val="0"/>
        <w:spacing w:before="0" w:beforeAutospacing="0" w:afterAutospacing="0" w:line="360" w:lineRule="auto"/>
        <w:ind w:right="0" w:firstLine="440" w:firstLineChars="200"/>
        <w:textAlignment w:val="auto"/>
        <w:rPr>
          <w:rFonts w:hint="eastAsia" w:ascii="宋体" w:hAnsi="宋体" w:eastAsia="宋体" w:cs="宋体"/>
          <w:b w:val="0"/>
          <w:bCs w:val="0"/>
          <w:color w:val="auto"/>
          <w:kern w:val="2"/>
          <w:sz w:val="22"/>
          <w:szCs w:val="22"/>
          <w:highlight w:val="none"/>
          <w:u w:val="none"/>
          <w:lang w:val="en-US" w:eastAsia="zh-CN" w:bidi="ar-SA"/>
        </w:rPr>
      </w:pPr>
      <w:r>
        <w:rPr>
          <w:rFonts w:hint="eastAsia" w:hAnsi="宋体" w:cs="宋体"/>
          <w:b w:val="0"/>
          <w:bCs w:val="0"/>
          <w:color w:val="auto"/>
          <w:kern w:val="2"/>
          <w:sz w:val="22"/>
          <w:szCs w:val="22"/>
          <w:highlight w:val="none"/>
          <w:u w:val="none"/>
          <w:lang w:val="en-US" w:eastAsia="zh-CN" w:bidi="ar-SA"/>
        </w:rPr>
        <w:t>乐清校区餐厅</w:t>
      </w:r>
      <w:r>
        <w:rPr>
          <w:rFonts w:hint="eastAsia" w:ascii="宋体" w:hAnsi="宋体" w:eastAsia="宋体" w:cs="宋体"/>
          <w:color w:val="auto"/>
          <w:sz w:val="22"/>
          <w:szCs w:val="22"/>
          <w:highlight w:val="none"/>
        </w:rPr>
        <w:t>一层为大众快餐，主营中式大众快餐并</w:t>
      </w:r>
      <w:r>
        <w:rPr>
          <w:rFonts w:hint="eastAsia" w:hAnsi="宋体" w:cs="宋体"/>
          <w:color w:val="auto"/>
          <w:sz w:val="22"/>
          <w:szCs w:val="22"/>
          <w:highlight w:val="none"/>
          <w:lang w:val="en-US" w:eastAsia="zh-CN"/>
        </w:rPr>
        <w:t>设置</w:t>
      </w:r>
      <w:r>
        <w:rPr>
          <w:rFonts w:hint="eastAsia" w:ascii="宋体" w:hAnsi="宋体" w:eastAsia="宋体" w:cs="宋体"/>
          <w:color w:val="auto"/>
          <w:sz w:val="22"/>
          <w:szCs w:val="22"/>
          <w:highlight w:val="none"/>
        </w:rPr>
        <w:t>便捷面食档口；二层为风味特色与品牌档口区，至少设1个大众快餐窗口，</w:t>
      </w:r>
      <w:r>
        <w:rPr>
          <w:rFonts w:hint="eastAsia" w:hAnsi="宋体" w:cs="宋体"/>
          <w:color w:val="auto"/>
          <w:sz w:val="22"/>
          <w:szCs w:val="22"/>
          <w:highlight w:val="none"/>
          <w:lang w:val="en-US" w:eastAsia="zh-CN"/>
        </w:rPr>
        <w:t>重点</w:t>
      </w:r>
      <w:r>
        <w:rPr>
          <w:rFonts w:hint="eastAsia" w:ascii="宋体" w:hAnsi="宋体" w:eastAsia="宋体" w:cs="宋体"/>
          <w:color w:val="auto"/>
          <w:sz w:val="22"/>
          <w:szCs w:val="22"/>
          <w:highlight w:val="none"/>
        </w:rPr>
        <w:t>发展风味小吃、特色品牌档口及风味小炒；三层为风味小炒</w:t>
      </w:r>
      <w:r>
        <w:rPr>
          <w:rFonts w:hint="eastAsia" w:ascii="宋体" w:hAnsi="宋体" w:eastAsia="宋体" w:cs="宋体"/>
          <w:color w:val="auto"/>
          <w:sz w:val="22"/>
          <w:szCs w:val="22"/>
          <w:highlight w:val="none"/>
          <w:lang w:val="en-US" w:eastAsia="zh-CN"/>
        </w:rPr>
        <w:t>和自助餐厅</w:t>
      </w:r>
      <w:r>
        <w:rPr>
          <w:rFonts w:hint="eastAsia" w:ascii="宋体" w:hAnsi="宋体" w:eastAsia="宋体" w:cs="宋体"/>
          <w:color w:val="auto"/>
          <w:sz w:val="22"/>
          <w:szCs w:val="22"/>
          <w:highlight w:val="none"/>
        </w:rPr>
        <w:t>，业态布局由</w:t>
      </w:r>
      <w:r>
        <w:rPr>
          <w:rFonts w:hint="eastAsia" w:hAnsi="宋体" w:cs="宋体"/>
          <w:color w:val="auto"/>
          <w:sz w:val="22"/>
          <w:szCs w:val="22"/>
          <w:highlight w:val="none"/>
          <w:lang w:eastAsia="zh-CN"/>
        </w:rPr>
        <w:t>投标人</w:t>
      </w:r>
      <w:r>
        <w:rPr>
          <w:rFonts w:hint="eastAsia" w:ascii="宋体" w:hAnsi="宋体" w:eastAsia="宋体" w:cs="宋体"/>
          <w:color w:val="auto"/>
          <w:sz w:val="22"/>
          <w:szCs w:val="22"/>
          <w:highlight w:val="none"/>
        </w:rPr>
        <w:t>设计并报校方审批。</w:t>
      </w:r>
    </w:p>
    <w:p w14:paraId="238AB8D4">
      <w:pPr>
        <w:pStyle w:val="5"/>
        <w:keepNext w:val="0"/>
        <w:keepLines w:val="0"/>
        <w:pageBreakBefore w:val="0"/>
        <w:widowControl w:val="0"/>
        <w:suppressLineNumbers w:val="0"/>
        <w:kinsoku/>
        <w:overflowPunct/>
        <w:topLinePunct w:val="0"/>
        <w:autoSpaceDE w:val="0"/>
        <w:autoSpaceDN/>
        <w:bidi w:val="0"/>
        <w:adjustRightInd/>
        <w:snapToGrid w:val="0"/>
        <w:spacing w:before="0" w:beforeAutospacing="0" w:afterAutospacing="0" w:line="360" w:lineRule="auto"/>
        <w:ind w:right="0" w:firstLine="440" w:firstLineChars="200"/>
        <w:textAlignment w:val="auto"/>
        <w:rPr>
          <w:rFonts w:hint="eastAsia" w:ascii="宋体" w:hAnsi="宋体" w:eastAsia="宋体" w:cs="宋体"/>
          <w:b/>
          <w:bCs/>
          <w:color w:val="auto"/>
          <w:kern w:val="2"/>
          <w:sz w:val="22"/>
          <w:szCs w:val="22"/>
          <w:highlight w:val="none"/>
          <w:u w:val="none"/>
          <w:lang w:val="en-US" w:eastAsia="zh-CN"/>
        </w:rPr>
      </w:pPr>
      <w:r>
        <w:rPr>
          <w:rFonts w:hint="eastAsia" w:ascii="宋体" w:hAnsi="宋体" w:eastAsia="宋体" w:cs="宋体"/>
          <w:b w:val="0"/>
          <w:bCs w:val="0"/>
          <w:color w:val="auto"/>
          <w:kern w:val="2"/>
          <w:sz w:val="22"/>
          <w:szCs w:val="22"/>
          <w:highlight w:val="none"/>
          <w:u w:val="none"/>
          <w:lang w:val="en-US" w:eastAsia="zh-CN" w:bidi="ar-SA"/>
        </w:rPr>
        <w:t>（2）</w:t>
      </w:r>
      <w:r>
        <w:rPr>
          <w:rFonts w:hint="eastAsia" w:ascii="宋体" w:hAnsi="宋体" w:eastAsia="宋体" w:cs="宋体"/>
          <w:b w:val="0"/>
          <w:bCs w:val="0"/>
          <w:color w:val="auto"/>
          <w:kern w:val="2"/>
          <w:sz w:val="22"/>
          <w:szCs w:val="22"/>
          <w:highlight w:val="none"/>
          <w:u w:val="none"/>
          <w:lang w:val="en-US" w:eastAsia="zh-CN"/>
        </w:rPr>
        <w:t>所有学生餐厅在改造和经营过程中，投标人均需按温州市学校餐饮服务食品安全监督量化分级管理等级A级要求实施。</w:t>
      </w:r>
    </w:p>
    <w:p w14:paraId="00FB05AD">
      <w:pPr>
        <w:pStyle w:val="5"/>
        <w:keepNext w:val="0"/>
        <w:keepLines w:val="0"/>
        <w:pageBreakBefore w:val="0"/>
        <w:widowControl w:val="0"/>
        <w:suppressLineNumbers w:val="0"/>
        <w:kinsoku/>
        <w:overflowPunct/>
        <w:topLinePunct w:val="0"/>
        <w:autoSpaceDE w:val="0"/>
        <w:autoSpaceDN/>
        <w:bidi w:val="0"/>
        <w:adjustRightInd/>
        <w:snapToGrid w:val="0"/>
        <w:spacing w:before="0" w:beforeAutospacing="0" w:afterAutospacing="0" w:line="360" w:lineRule="auto"/>
        <w:ind w:right="0" w:firstLine="440" w:firstLineChars="200"/>
        <w:textAlignment w:val="auto"/>
        <w:rPr>
          <w:rFonts w:hint="eastAsia" w:ascii="宋体" w:hAnsi="宋体" w:eastAsia="宋体" w:cs="宋体"/>
          <w:color w:val="auto"/>
          <w:kern w:val="2"/>
          <w:sz w:val="22"/>
          <w:szCs w:val="22"/>
          <w:highlight w:val="none"/>
          <w:u w:val="none"/>
          <w:lang w:val="en-US" w:eastAsia="zh-CN"/>
        </w:rPr>
      </w:pPr>
      <w:r>
        <w:rPr>
          <w:rFonts w:hint="eastAsia" w:ascii="宋体" w:hAnsi="宋体" w:eastAsia="宋体" w:cs="宋体"/>
          <w:color w:val="auto"/>
          <w:kern w:val="2"/>
          <w:sz w:val="22"/>
          <w:szCs w:val="22"/>
          <w:highlight w:val="none"/>
          <w:u w:val="none"/>
          <w:lang w:val="en-US" w:eastAsia="zh-CN"/>
        </w:rPr>
        <w:t>（3）投标人必须严格遵守</w:t>
      </w:r>
      <w:r>
        <w:rPr>
          <w:rFonts w:hint="eastAsia" w:hAnsi="宋体" w:cs="宋体"/>
          <w:color w:val="auto"/>
          <w:kern w:val="2"/>
          <w:sz w:val="22"/>
          <w:szCs w:val="22"/>
          <w:highlight w:val="none"/>
          <w:u w:val="none"/>
          <w:lang w:val="en-US" w:eastAsia="zh-CN"/>
        </w:rPr>
        <w:t>《中华人民共和国食品安全法》</w:t>
      </w:r>
      <w:r>
        <w:rPr>
          <w:rFonts w:hint="eastAsia" w:ascii="宋体" w:hAnsi="宋体" w:eastAsia="宋体" w:cs="宋体"/>
          <w:color w:val="auto"/>
          <w:kern w:val="2"/>
          <w:sz w:val="22"/>
          <w:szCs w:val="22"/>
          <w:highlight w:val="none"/>
          <w:u w:val="none"/>
          <w:lang w:val="en-US" w:eastAsia="zh-CN"/>
        </w:rPr>
        <w:t>《学校食品安全与营养健康管理规定》《GB31654—2021 食品安全国家标准餐饮服务通用卫生规范》《餐饮服务食品安全操作规范》等要求做好原材料采购及管理工作，其中粮、油、肉、冷冻品向阳光采购平台，如浙食安或天下粮仓平台备案的供应商处采购，或者参考在温州高校食材联采的</w:t>
      </w:r>
      <w:r>
        <w:rPr>
          <w:rFonts w:hint="eastAsia" w:hAnsi="宋体" w:cs="宋体"/>
          <w:color w:val="auto"/>
          <w:kern w:val="2"/>
          <w:sz w:val="22"/>
          <w:szCs w:val="22"/>
          <w:highlight w:val="none"/>
          <w:u w:val="none"/>
          <w:lang w:val="en-US" w:eastAsia="zh-CN"/>
        </w:rPr>
        <w:t>中标</w:t>
      </w:r>
      <w:r>
        <w:rPr>
          <w:rFonts w:hint="eastAsia" w:ascii="宋体" w:hAnsi="宋体" w:eastAsia="宋体" w:cs="宋体"/>
          <w:color w:val="auto"/>
          <w:kern w:val="2"/>
          <w:sz w:val="22"/>
          <w:szCs w:val="22"/>
          <w:highlight w:val="none"/>
          <w:u w:val="none"/>
          <w:lang w:val="en-US" w:eastAsia="zh-CN"/>
        </w:rPr>
        <w:t>供应商处采购，根据上级部门要求每年需按学校规定的金额在832平台等浙江省、温州市相关扶贫平台采购。履行食品安全管理责任，主动接受采购人的监督和管理。</w:t>
      </w:r>
    </w:p>
    <w:p w14:paraId="4D4508A2">
      <w:pPr>
        <w:pStyle w:val="5"/>
        <w:keepNext w:val="0"/>
        <w:keepLines w:val="0"/>
        <w:pageBreakBefore w:val="0"/>
        <w:widowControl w:val="0"/>
        <w:suppressLineNumbers w:val="0"/>
        <w:kinsoku/>
        <w:overflowPunct/>
        <w:topLinePunct w:val="0"/>
        <w:autoSpaceDE w:val="0"/>
        <w:autoSpaceDN/>
        <w:bidi w:val="0"/>
        <w:adjustRightInd/>
        <w:snapToGrid w:val="0"/>
        <w:spacing w:before="0" w:beforeAutospacing="0" w:afterAutospacing="0" w:line="360" w:lineRule="auto"/>
        <w:ind w:right="0" w:firstLine="440" w:firstLineChars="200"/>
        <w:textAlignment w:val="auto"/>
        <w:rPr>
          <w:rFonts w:hint="eastAsia" w:ascii="宋体" w:hAnsi="宋体" w:eastAsia="宋体" w:cs="宋体"/>
          <w:color w:val="auto"/>
          <w:kern w:val="2"/>
          <w:sz w:val="22"/>
          <w:szCs w:val="22"/>
          <w:highlight w:val="none"/>
          <w:u w:val="none"/>
          <w:lang w:val="en-US" w:eastAsia="zh-CN"/>
        </w:rPr>
      </w:pPr>
      <w:r>
        <w:rPr>
          <w:rFonts w:hint="eastAsia" w:ascii="宋体" w:hAnsi="宋体" w:eastAsia="宋体" w:cs="宋体"/>
          <w:color w:val="auto"/>
          <w:kern w:val="2"/>
          <w:sz w:val="22"/>
          <w:szCs w:val="22"/>
          <w:highlight w:val="none"/>
          <w:u w:val="none"/>
          <w:lang w:val="en-US" w:eastAsia="zh-CN"/>
        </w:rPr>
        <w:t>（4）在经营过程中，投标人负责经营场所内及周边的所有日常维修维护和经营期内的设施、设备维修维护（包含但不限于：厨房设施设备、灯光照明系统、烟道清洗、油烟净化系统、上下水系统、配电系统、地沟内设施、排水出口至排水主干管以内的排水设施等）并承担相关费用。</w:t>
      </w:r>
    </w:p>
    <w:p w14:paraId="6464FD01">
      <w:pPr>
        <w:pStyle w:val="5"/>
        <w:keepNext w:val="0"/>
        <w:keepLines w:val="0"/>
        <w:pageBreakBefore w:val="0"/>
        <w:widowControl w:val="0"/>
        <w:suppressLineNumbers w:val="0"/>
        <w:kinsoku/>
        <w:overflowPunct/>
        <w:topLinePunct w:val="0"/>
        <w:autoSpaceDE w:val="0"/>
        <w:autoSpaceDN/>
        <w:bidi w:val="0"/>
        <w:adjustRightInd/>
        <w:snapToGrid w:val="0"/>
        <w:spacing w:before="0" w:beforeAutospacing="0" w:afterAutospacing="0" w:line="360" w:lineRule="auto"/>
        <w:ind w:right="0" w:firstLine="440" w:firstLineChars="200"/>
        <w:textAlignment w:val="auto"/>
        <w:rPr>
          <w:rFonts w:hint="eastAsia" w:ascii="宋体" w:hAnsi="宋体" w:eastAsia="宋体" w:cs="宋体"/>
          <w:color w:val="auto"/>
          <w:kern w:val="2"/>
          <w:sz w:val="22"/>
          <w:szCs w:val="22"/>
          <w:highlight w:val="none"/>
          <w:u w:val="none"/>
          <w:lang w:val="en-US" w:eastAsia="zh-CN"/>
        </w:rPr>
      </w:pPr>
      <w:r>
        <w:rPr>
          <w:rFonts w:hint="eastAsia" w:ascii="宋体" w:hAnsi="宋体" w:eastAsia="宋体" w:cs="宋体"/>
          <w:color w:val="auto"/>
          <w:kern w:val="2"/>
          <w:sz w:val="22"/>
          <w:szCs w:val="22"/>
          <w:highlight w:val="none"/>
          <w:u w:val="none"/>
          <w:lang w:val="en-US" w:eastAsia="zh-CN"/>
        </w:rPr>
        <w:t>（5）投标人负责经营范围内的卫生服务、餐饮垃圾（不包括废弃家具和设备）、泔水的日常处理，公共隔油池、公共排污排水管道的疏通和维护等。</w:t>
      </w:r>
    </w:p>
    <w:p w14:paraId="1BAC203E">
      <w:pPr>
        <w:pStyle w:val="5"/>
        <w:keepNext w:val="0"/>
        <w:keepLines w:val="0"/>
        <w:pageBreakBefore w:val="0"/>
        <w:widowControl w:val="0"/>
        <w:suppressLineNumbers w:val="0"/>
        <w:kinsoku/>
        <w:overflowPunct/>
        <w:topLinePunct w:val="0"/>
        <w:autoSpaceDE w:val="0"/>
        <w:autoSpaceDN/>
        <w:bidi w:val="0"/>
        <w:adjustRightInd/>
        <w:snapToGrid w:val="0"/>
        <w:spacing w:before="0" w:beforeAutospacing="0" w:afterAutospacing="0" w:line="360" w:lineRule="auto"/>
        <w:ind w:right="0" w:firstLine="440" w:firstLineChars="200"/>
        <w:textAlignment w:val="auto"/>
        <w:rPr>
          <w:rFonts w:hint="eastAsia" w:ascii="宋体" w:hAnsi="宋体" w:eastAsia="宋体" w:cs="宋体"/>
          <w:color w:val="auto"/>
          <w:kern w:val="2"/>
          <w:sz w:val="22"/>
          <w:szCs w:val="22"/>
          <w:highlight w:val="none"/>
          <w:u w:val="none"/>
          <w:lang w:val="en-US" w:eastAsia="zh-CN"/>
        </w:rPr>
      </w:pPr>
      <w:r>
        <w:rPr>
          <w:rFonts w:hint="eastAsia" w:ascii="宋体" w:hAnsi="宋体" w:eastAsia="宋体" w:cs="宋体"/>
          <w:color w:val="auto"/>
          <w:kern w:val="2"/>
          <w:sz w:val="22"/>
          <w:szCs w:val="22"/>
          <w:highlight w:val="none"/>
          <w:u w:val="none"/>
          <w:lang w:val="en-US" w:eastAsia="zh-CN"/>
        </w:rPr>
        <w:t>（6）在经营过程中，如有财政或学校相关补贴的，按相关规定执行。</w:t>
      </w:r>
    </w:p>
    <w:p w14:paraId="15CF66F0">
      <w:pPr>
        <w:pStyle w:val="5"/>
        <w:keepNext w:val="0"/>
        <w:keepLines w:val="0"/>
        <w:pageBreakBefore w:val="0"/>
        <w:widowControl w:val="0"/>
        <w:suppressLineNumbers w:val="0"/>
        <w:kinsoku/>
        <w:overflowPunct/>
        <w:topLinePunct w:val="0"/>
        <w:autoSpaceDE w:val="0"/>
        <w:autoSpaceDN/>
        <w:bidi w:val="0"/>
        <w:adjustRightInd/>
        <w:snapToGrid w:val="0"/>
        <w:spacing w:before="0" w:beforeAutospacing="0" w:afterAutospacing="0" w:line="360" w:lineRule="auto"/>
        <w:ind w:right="0" w:firstLine="440" w:firstLineChars="200"/>
        <w:textAlignment w:val="auto"/>
        <w:rPr>
          <w:rFonts w:hint="eastAsia" w:ascii="宋体" w:hAnsi="宋体" w:eastAsia="宋体" w:cs="宋体"/>
          <w:color w:val="auto"/>
          <w:sz w:val="22"/>
          <w:szCs w:val="22"/>
          <w:highlight w:val="none"/>
          <w:u w:val="single"/>
          <w:lang w:eastAsia="zh-CN"/>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w:t>
      </w:r>
      <w:r>
        <w:rPr>
          <w:rFonts w:hint="eastAsia" w:hAnsi="宋体" w:cs="宋体"/>
          <w:color w:val="auto"/>
          <w:sz w:val="22"/>
          <w:szCs w:val="22"/>
          <w:highlight w:val="none"/>
          <w:u w:val="single"/>
          <w:lang w:val="en-US" w:eastAsia="zh-CN"/>
        </w:rPr>
        <w:t>若省教育厅有要求，</w:t>
      </w:r>
      <w:r>
        <w:rPr>
          <w:rFonts w:hint="eastAsia" w:ascii="宋体" w:hAnsi="宋体" w:eastAsia="宋体" w:cs="宋体"/>
          <w:color w:val="auto"/>
          <w:sz w:val="22"/>
          <w:szCs w:val="22"/>
          <w:highlight w:val="none"/>
          <w:u w:val="single"/>
          <w:lang w:val="en-US" w:eastAsia="zh-CN"/>
        </w:rPr>
        <w:t>投标人必须</w:t>
      </w:r>
      <w:r>
        <w:rPr>
          <w:rFonts w:hint="eastAsia" w:ascii="宋体" w:hAnsi="宋体" w:eastAsia="宋体" w:cs="宋体"/>
          <w:color w:val="auto"/>
          <w:sz w:val="22"/>
          <w:szCs w:val="22"/>
          <w:highlight w:val="none"/>
          <w:u w:val="single"/>
        </w:rPr>
        <w:t>配合采购人，按照省教育厅要求，完成高校食堂</w:t>
      </w:r>
      <w:r>
        <w:rPr>
          <w:rFonts w:hint="eastAsia" w:ascii="宋体" w:hAnsi="宋体" w:eastAsia="宋体" w:cs="宋体"/>
          <w:color w:val="auto"/>
          <w:sz w:val="22"/>
          <w:szCs w:val="22"/>
          <w:highlight w:val="none"/>
          <w:u w:val="single"/>
          <w:lang w:eastAsia="zh-CN"/>
        </w:rPr>
        <w:t>“采供智治”</w:t>
      </w:r>
      <w:r>
        <w:rPr>
          <w:rFonts w:hint="eastAsia" w:ascii="宋体" w:hAnsi="宋体" w:eastAsia="宋体" w:cs="宋体"/>
          <w:color w:val="auto"/>
          <w:sz w:val="22"/>
          <w:szCs w:val="22"/>
          <w:highlight w:val="none"/>
          <w:u w:val="single"/>
        </w:rPr>
        <w:t>数据与学校智能采购平台（阳光采购平台）的系统数据对接工作（包括数据导入、录入等），确保数据实时交互与监管合规。</w:t>
      </w:r>
      <w:r>
        <w:rPr>
          <w:rFonts w:hint="eastAsia" w:ascii="宋体" w:hAnsi="宋体" w:eastAsia="宋体" w:cs="宋体"/>
          <w:color w:val="auto"/>
          <w:sz w:val="22"/>
          <w:szCs w:val="22"/>
          <w:highlight w:val="none"/>
          <w:u w:val="single"/>
          <w:lang w:val="en-US" w:eastAsia="zh-CN"/>
        </w:rPr>
        <w:t>投标人</w:t>
      </w:r>
      <w:r>
        <w:rPr>
          <w:rFonts w:hint="eastAsia" w:ascii="宋体" w:hAnsi="宋体" w:eastAsia="宋体" w:cs="宋体"/>
          <w:color w:val="auto"/>
          <w:sz w:val="22"/>
          <w:szCs w:val="22"/>
          <w:highlight w:val="none"/>
          <w:u w:val="single"/>
        </w:rPr>
        <w:t>必须在</w:t>
      </w:r>
      <w:r>
        <w:rPr>
          <w:rFonts w:hint="eastAsia" w:ascii="宋体" w:hAnsi="宋体" w:eastAsia="宋体" w:cs="宋体"/>
          <w:color w:val="auto"/>
          <w:sz w:val="22"/>
          <w:szCs w:val="22"/>
          <w:highlight w:val="none"/>
          <w:u w:val="single"/>
          <w:lang w:eastAsia="zh-CN"/>
        </w:rPr>
        <w:t>投标文件</w:t>
      </w:r>
      <w:r>
        <w:rPr>
          <w:rFonts w:hint="eastAsia" w:ascii="宋体" w:hAnsi="宋体" w:eastAsia="宋体" w:cs="宋体"/>
          <w:color w:val="auto"/>
          <w:sz w:val="22"/>
          <w:szCs w:val="22"/>
          <w:highlight w:val="none"/>
          <w:u w:val="single"/>
        </w:rPr>
        <w:t>中提供针对该条内容的承诺函，否则按</w:t>
      </w:r>
      <w:r>
        <w:rPr>
          <w:rFonts w:hint="eastAsia" w:ascii="宋体" w:hAnsi="宋体" w:eastAsia="宋体" w:cs="宋体"/>
          <w:color w:val="auto"/>
          <w:sz w:val="22"/>
          <w:szCs w:val="22"/>
          <w:highlight w:val="none"/>
          <w:u w:val="single"/>
          <w:lang w:val="en-US" w:eastAsia="zh-CN"/>
        </w:rPr>
        <w:t>投标无效</w:t>
      </w:r>
      <w:r>
        <w:rPr>
          <w:rFonts w:hint="eastAsia" w:ascii="宋体" w:hAnsi="宋体" w:eastAsia="宋体" w:cs="宋体"/>
          <w:color w:val="auto"/>
          <w:sz w:val="22"/>
          <w:szCs w:val="22"/>
          <w:highlight w:val="none"/>
          <w:u w:val="single"/>
        </w:rPr>
        <w:t>处理（格式统一见附件七）</w:t>
      </w:r>
      <w:r>
        <w:rPr>
          <w:rFonts w:hint="eastAsia" w:ascii="宋体" w:hAnsi="宋体" w:eastAsia="宋体" w:cs="宋体"/>
          <w:color w:val="auto"/>
          <w:sz w:val="22"/>
          <w:szCs w:val="22"/>
          <w:highlight w:val="none"/>
          <w:u w:val="single"/>
          <w:lang w:eastAsia="zh-CN"/>
        </w:rPr>
        <w:t>。</w:t>
      </w:r>
    </w:p>
    <w:p w14:paraId="1D0AC548">
      <w:pPr>
        <w:pStyle w:val="5"/>
        <w:keepNext w:val="0"/>
        <w:keepLines w:val="0"/>
        <w:pageBreakBefore w:val="0"/>
        <w:widowControl w:val="0"/>
        <w:suppressLineNumbers w:val="0"/>
        <w:kinsoku/>
        <w:overflowPunct/>
        <w:topLinePunct w:val="0"/>
        <w:autoSpaceDE w:val="0"/>
        <w:autoSpaceDN/>
        <w:bidi w:val="0"/>
        <w:adjustRightInd/>
        <w:snapToGrid w:val="0"/>
        <w:spacing w:before="0" w:beforeAutospacing="0" w:afterAutospacing="0" w:line="360" w:lineRule="auto"/>
        <w:ind w:right="0" w:firstLine="440" w:firstLineChars="200"/>
        <w:textAlignment w:val="auto"/>
        <w:rPr>
          <w:rFonts w:hint="eastAsia" w:ascii="宋体" w:hAnsi="宋体" w:eastAsia="宋体" w:cs="宋体"/>
          <w:color w:val="auto"/>
          <w:kern w:val="2"/>
          <w:sz w:val="22"/>
          <w:szCs w:val="22"/>
          <w:highlight w:val="none"/>
          <w:u w:val="none"/>
          <w:lang w:val="en-US" w:eastAsia="zh-CN"/>
        </w:rPr>
      </w:pPr>
      <w:r>
        <w:rPr>
          <w:rFonts w:hint="eastAsia" w:ascii="宋体" w:hAnsi="宋体" w:eastAsia="宋体" w:cs="宋体"/>
          <w:color w:val="auto"/>
          <w:kern w:val="2"/>
          <w:sz w:val="22"/>
          <w:szCs w:val="22"/>
          <w:highlight w:val="none"/>
          <w:u w:val="none"/>
          <w:lang w:val="en-US" w:eastAsia="zh-CN"/>
        </w:rPr>
        <w:t>（三）特别声明</w:t>
      </w:r>
    </w:p>
    <w:p w14:paraId="2E8375ED">
      <w:pPr>
        <w:pStyle w:val="5"/>
        <w:keepNext w:val="0"/>
        <w:keepLines w:val="0"/>
        <w:pageBreakBefore w:val="0"/>
        <w:widowControl w:val="0"/>
        <w:suppressLineNumbers w:val="0"/>
        <w:kinsoku/>
        <w:overflowPunct/>
        <w:topLinePunct w:val="0"/>
        <w:autoSpaceDE w:val="0"/>
        <w:autoSpaceDN/>
        <w:bidi w:val="0"/>
        <w:adjustRightInd/>
        <w:snapToGrid w:val="0"/>
        <w:spacing w:before="0" w:beforeAutospacing="0" w:afterAutospacing="0" w:line="360" w:lineRule="auto"/>
        <w:ind w:right="0" w:firstLine="440" w:firstLineChars="200"/>
        <w:textAlignment w:val="auto"/>
        <w:rPr>
          <w:rFonts w:hint="eastAsia" w:ascii="宋体" w:hAnsi="宋体" w:eastAsia="宋体" w:cs="宋体"/>
          <w:color w:val="auto"/>
          <w:kern w:val="2"/>
          <w:sz w:val="22"/>
          <w:szCs w:val="22"/>
          <w:highlight w:val="none"/>
          <w:u w:val="single"/>
          <w:lang w:val="en-US" w:eastAsia="zh-CN" w:bidi="ar-SA"/>
        </w:rPr>
      </w:pPr>
      <w:r>
        <w:rPr>
          <w:rFonts w:hint="eastAsia" w:ascii="宋体" w:hAnsi="宋体" w:eastAsia="宋体" w:cs="宋体"/>
          <w:color w:val="auto"/>
          <w:kern w:val="2"/>
          <w:sz w:val="22"/>
          <w:szCs w:val="22"/>
          <w:highlight w:val="none"/>
          <w:u w:val="single"/>
          <w:lang w:val="en-US" w:eastAsia="zh-CN"/>
        </w:rPr>
        <w:t>▲</w:t>
      </w:r>
      <w:r>
        <w:rPr>
          <w:rFonts w:hint="eastAsia" w:ascii="宋体" w:hAnsi="宋体" w:eastAsia="宋体" w:cs="宋体"/>
          <w:color w:val="auto"/>
          <w:kern w:val="2"/>
          <w:sz w:val="22"/>
          <w:szCs w:val="22"/>
          <w:highlight w:val="none"/>
          <w:u w:val="single"/>
        </w:rPr>
        <w:t>若因国家或学校政策变动导致</w:t>
      </w:r>
      <w:r>
        <w:rPr>
          <w:rFonts w:hint="eastAsia" w:ascii="宋体" w:hAnsi="宋体" w:eastAsia="宋体" w:cs="宋体"/>
          <w:color w:val="auto"/>
          <w:kern w:val="2"/>
          <w:sz w:val="22"/>
          <w:szCs w:val="22"/>
          <w:highlight w:val="none"/>
          <w:u w:val="single"/>
          <w:lang w:eastAsia="zh-CN"/>
        </w:rPr>
        <w:t>投标人</w:t>
      </w:r>
      <w:r>
        <w:rPr>
          <w:rFonts w:hint="eastAsia" w:ascii="宋体" w:hAnsi="宋体" w:eastAsia="宋体" w:cs="宋体"/>
          <w:color w:val="auto"/>
          <w:kern w:val="2"/>
          <w:sz w:val="22"/>
          <w:szCs w:val="22"/>
          <w:highlight w:val="none"/>
          <w:u w:val="single"/>
        </w:rPr>
        <w:t>须无条件退出，</w:t>
      </w:r>
      <w:r>
        <w:rPr>
          <w:rFonts w:hint="eastAsia" w:ascii="宋体" w:hAnsi="宋体" w:eastAsia="宋体" w:cs="宋体"/>
          <w:color w:val="auto"/>
          <w:kern w:val="2"/>
          <w:sz w:val="22"/>
          <w:szCs w:val="22"/>
          <w:highlight w:val="none"/>
          <w:u w:val="single"/>
          <w:lang w:eastAsia="zh-CN"/>
        </w:rPr>
        <w:t>采购人</w:t>
      </w:r>
      <w:r>
        <w:rPr>
          <w:rFonts w:hint="eastAsia" w:ascii="宋体" w:hAnsi="宋体" w:eastAsia="宋体" w:cs="宋体"/>
          <w:color w:val="auto"/>
          <w:kern w:val="2"/>
          <w:sz w:val="22"/>
          <w:szCs w:val="22"/>
          <w:highlight w:val="none"/>
          <w:u w:val="single"/>
        </w:rPr>
        <w:t>将提前通知</w:t>
      </w:r>
      <w:r>
        <w:rPr>
          <w:rFonts w:hint="eastAsia" w:ascii="宋体" w:hAnsi="宋体" w:eastAsia="宋体" w:cs="宋体"/>
          <w:color w:val="auto"/>
          <w:kern w:val="2"/>
          <w:sz w:val="22"/>
          <w:szCs w:val="22"/>
          <w:highlight w:val="none"/>
          <w:u w:val="single"/>
          <w:lang w:eastAsia="zh-CN"/>
        </w:rPr>
        <w:t>投标人</w:t>
      </w:r>
      <w:r>
        <w:rPr>
          <w:rFonts w:hint="eastAsia" w:ascii="宋体" w:hAnsi="宋体" w:eastAsia="宋体" w:cs="宋体"/>
          <w:color w:val="auto"/>
          <w:kern w:val="2"/>
          <w:sz w:val="22"/>
          <w:szCs w:val="22"/>
          <w:highlight w:val="none"/>
          <w:u w:val="single"/>
        </w:rPr>
        <w:t>。在此过程中造成的经营或其他方面的损失，</w:t>
      </w:r>
      <w:r>
        <w:rPr>
          <w:rFonts w:hint="eastAsia" w:ascii="宋体" w:hAnsi="宋体" w:eastAsia="宋体" w:cs="宋体"/>
          <w:color w:val="auto"/>
          <w:kern w:val="2"/>
          <w:sz w:val="22"/>
          <w:szCs w:val="22"/>
          <w:highlight w:val="none"/>
          <w:u w:val="single"/>
          <w:lang w:eastAsia="zh-CN"/>
        </w:rPr>
        <w:t>采购人</w:t>
      </w:r>
      <w:r>
        <w:rPr>
          <w:rFonts w:hint="eastAsia" w:ascii="宋体" w:hAnsi="宋体" w:eastAsia="宋体" w:cs="宋体"/>
          <w:color w:val="auto"/>
          <w:kern w:val="2"/>
          <w:sz w:val="22"/>
          <w:szCs w:val="22"/>
          <w:highlight w:val="none"/>
          <w:u w:val="single"/>
        </w:rPr>
        <w:t>概不负责。</w:t>
      </w:r>
      <w:r>
        <w:rPr>
          <w:rFonts w:hint="eastAsia" w:ascii="宋体" w:hAnsi="宋体" w:eastAsia="宋体" w:cs="宋体"/>
          <w:color w:val="auto"/>
          <w:kern w:val="2"/>
          <w:sz w:val="22"/>
          <w:szCs w:val="22"/>
          <w:highlight w:val="none"/>
          <w:u w:val="single"/>
          <w:lang w:val="en-US" w:eastAsia="zh-CN" w:bidi="ar-SA"/>
        </w:rPr>
        <w:t xml:space="preserve"> 若因投标人原因提出退出，需提前至少3个月通知采购人，在采购人重新完成招标并完成交接后方可退场，在此期间仍需保证食堂的正常经营。</w:t>
      </w:r>
    </w:p>
    <w:bookmarkEnd w:id="6"/>
    <w:p w14:paraId="6D068116">
      <w:pPr>
        <w:pStyle w:val="5"/>
        <w:keepNext w:val="0"/>
        <w:keepLines w:val="0"/>
        <w:pageBreakBefore w:val="0"/>
        <w:widowControl w:val="0"/>
        <w:suppressLineNumbers w:val="0"/>
        <w:kinsoku/>
        <w:overflowPunct/>
        <w:topLinePunct w:val="0"/>
        <w:autoSpaceDE w:val="0"/>
        <w:autoSpaceDN/>
        <w:bidi w:val="0"/>
        <w:adjustRightInd/>
        <w:snapToGrid w:val="0"/>
        <w:spacing w:before="0" w:beforeAutospacing="0" w:afterAutospacing="0" w:line="360" w:lineRule="auto"/>
        <w:ind w:right="0" w:firstLine="440" w:firstLineChars="200"/>
        <w:textAlignment w:val="auto"/>
        <w:rPr>
          <w:rFonts w:hint="eastAsia" w:eastAsia="微软雅黑"/>
          <w:color w:val="auto"/>
          <w:highlight w:val="none"/>
          <w:lang w:eastAsia="zh-CN"/>
        </w:rPr>
      </w:pPr>
      <w:r>
        <w:rPr>
          <w:rFonts w:hint="eastAsia" w:ascii="宋体" w:hAnsi="宋体" w:eastAsia="宋体" w:cs="宋体"/>
          <w:color w:val="auto"/>
          <w:kern w:val="2"/>
          <w:sz w:val="22"/>
          <w:szCs w:val="22"/>
          <w:highlight w:val="none"/>
          <w:u w:val="none"/>
          <w:lang w:val="en-US" w:eastAsia="zh-CN"/>
        </w:rPr>
        <w:t>（四）本项目须为滨海及乐清校区分别配置专职的项目经理，服务期内严禁兼任其他职务或变更，确保全程在岗（工作时间按采购人要求）并接受采购人日常考勤管理。</w:t>
      </w:r>
    </w:p>
    <w:p w14:paraId="01D93F5E">
      <w:pPr>
        <w:keepNext w:val="0"/>
        <w:keepLines w:val="0"/>
        <w:pageBreakBefore w:val="0"/>
        <w:widowControl w:val="0"/>
        <w:kinsoku/>
        <w:overflowPunct/>
        <w:topLinePunct w:val="0"/>
        <w:autoSpaceDE w:val="0"/>
        <w:autoSpaceDN/>
        <w:bidi w:val="0"/>
        <w:adjustRightInd/>
        <w:snapToGrid w:val="0"/>
        <w:spacing w:before="0" w:line="360" w:lineRule="auto"/>
        <w:ind w:right="0"/>
        <w:jc w:val="both"/>
        <w:textAlignment w:val="auto"/>
        <w:rPr>
          <w:rFonts w:hint="eastAsia" w:ascii="宋体" w:hAnsi="宋体" w:eastAsia="宋体" w:cs="宋体"/>
          <w:b/>
          <w:bCs/>
          <w:color w:val="auto"/>
          <w:kern w:val="2"/>
          <w:sz w:val="22"/>
          <w:szCs w:val="22"/>
          <w:highlight w:val="none"/>
          <w:lang w:val="en-US" w:eastAsia="zh-CN" w:bidi="ar-SA"/>
        </w:rPr>
      </w:pPr>
      <w:r>
        <w:rPr>
          <w:rFonts w:hint="eastAsia" w:ascii="宋体" w:hAnsi="宋体" w:eastAsia="宋体" w:cs="宋体"/>
          <w:b/>
          <w:bCs/>
          <w:color w:val="auto"/>
          <w:kern w:val="2"/>
          <w:sz w:val="22"/>
          <w:szCs w:val="22"/>
          <w:highlight w:val="none"/>
          <w:lang w:val="en-US" w:eastAsia="zh-CN" w:bidi="ar-SA"/>
        </w:rPr>
        <w:t>五、食堂的改造、维护</w:t>
      </w:r>
    </w:p>
    <w:p w14:paraId="78A70EC4">
      <w:pPr>
        <w:keepNext w:val="0"/>
        <w:keepLines w:val="0"/>
        <w:pageBreakBefore w:val="0"/>
        <w:widowControl w:val="0"/>
        <w:kinsoku/>
        <w:overflowPunct/>
        <w:topLinePunct w:val="0"/>
        <w:autoSpaceDE w:val="0"/>
        <w:autoSpaceDN/>
        <w:bidi w:val="0"/>
        <w:adjustRightInd/>
        <w:snapToGrid w:val="0"/>
        <w:spacing w:before="0" w:line="360" w:lineRule="auto"/>
        <w:ind w:right="0" w:firstLine="442" w:firstLineChars="200"/>
        <w:jc w:val="both"/>
        <w:textAlignment w:val="auto"/>
        <w:rPr>
          <w:rFonts w:hint="eastAsia" w:ascii="宋体" w:hAnsi="宋体" w:eastAsia="宋体" w:cs="宋体"/>
          <w:b/>
          <w:color w:val="auto"/>
          <w:kern w:val="2"/>
          <w:sz w:val="22"/>
          <w:szCs w:val="22"/>
          <w:highlight w:val="none"/>
          <w:lang w:val="en-US" w:eastAsia="zh-CN" w:bidi="ar-SA"/>
        </w:rPr>
      </w:pPr>
      <w:r>
        <w:rPr>
          <w:rFonts w:hint="eastAsia" w:ascii="宋体" w:hAnsi="宋体" w:eastAsia="宋体" w:cs="宋体"/>
          <w:b/>
          <w:color w:val="auto"/>
          <w:kern w:val="2"/>
          <w:sz w:val="22"/>
          <w:szCs w:val="22"/>
          <w:highlight w:val="none"/>
          <w:lang w:val="en-US" w:eastAsia="zh-CN" w:bidi="ar-SA"/>
        </w:rPr>
        <w:t>1.设施设备投入。</w:t>
      </w:r>
    </w:p>
    <w:p w14:paraId="2808AF74">
      <w:pPr>
        <w:keepNext w:val="0"/>
        <w:keepLines w:val="0"/>
        <w:pageBreakBefore w:val="0"/>
        <w:widowControl w:val="0"/>
        <w:kinsoku/>
        <w:overflowPunct/>
        <w:topLinePunct w:val="0"/>
        <w:autoSpaceDE w:val="0"/>
        <w:autoSpaceDN/>
        <w:bidi w:val="0"/>
        <w:adjustRightInd/>
        <w:snapToGrid w:val="0"/>
        <w:spacing w:before="0" w:line="360" w:lineRule="auto"/>
        <w:ind w:right="0" w:firstLine="440" w:firstLineChars="200"/>
        <w:jc w:val="both"/>
        <w:textAlignment w:val="auto"/>
        <w:rPr>
          <w:rFonts w:hint="eastAsia" w:ascii="宋体" w:hAnsi="宋体" w:eastAsia="宋体" w:cs="宋体"/>
          <w:b w:val="0"/>
          <w:bCs/>
          <w:color w:val="auto"/>
          <w:kern w:val="2"/>
          <w:sz w:val="22"/>
          <w:szCs w:val="22"/>
          <w:highlight w:val="none"/>
          <w:u w:val="none"/>
        </w:rPr>
      </w:pPr>
      <w:r>
        <w:rPr>
          <w:rFonts w:hint="eastAsia" w:ascii="宋体" w:hAnsi="宋体" w:eastAsia="宋体" w:cs="宋体"/>
          <w:color w:val="auto"/>
          <w:kern w:val="2"/>
          <w:sz w:val="22"/>
          <w:szCs w:val="22"/>
          <w:highlight w:val="none"/>
          <w:u w:val="none"/>
          <w:lang w:eastAsia="zh-CN"/>
        </w:rPr>
        <w:t>食堂内水、电供应、储存仓库以及固定基本设施设备齐全。</w:t>
      </w:r>
      <w:r>
        <w:rPr>
          <w:rFonts w:hint="eastAsia" w:ascii="宋体" w:hAnsi="宋体" w:eastAsia="宋体" w:cs="宋体"/>
          <w:b w:val="0"/>
          <w:bCs/>
          <w:color w:val="auto"/>
          <w:kern w:val="2"/>
          <w:sz w:val="22"/>
          <w:szCs w:val="22"/>
          <w:highlight w:val="none"/>
          <w:u w:val="none"/>
          <w:lang w:eastAsia="zh-CN"/>
        </w:rPr>
        <w:t>采购人</w:t>
      </w:r>
      <w:r>
        <w:rPr>
          <w:rFonts w:hint="eastAsia" w:ascii="宋体" w:hAnsi="宋体" w:eastAsia="宋体" w:cs="宋体"/>
          <w:b w:val="0"/>
          <w:bCs/>
          <w:color w:val="auto"/>
          <w:kern w:val="2"/>
          <w:sz w:val="22"/>
          <w:szCs w:val="22"/>
          <w:highlight w:val="none"/>
          <w:u w:val="none"/>
        </w:rPr>
        <w:t>已提供</w:t>
      </w:r>
      <w:r>
        <w:rPr>
          <w:rFonts w:hint="eastAsia" w:ascii="宋体" w:hAnsi="宋体" w:eastAsia="宋体" w:cs="宋体"/>
          <w:b w:val="0"/>
          <w:bCs/>
          <w:color w:val="auto"/>
          <w:kern w:val="2"/>
          <w:sz w:val="22"/>
          <w:szCs w:val="22"/>
          <w:highlight w:val="none"/>
          <w:u w:val="none"/>
          <w:lang w:val="en-US" w:eastAsia="zh-CN"/>
        </w:rPr>
        <w:t>设施</w:t>
      </w:r>
      <w:r>
        <w:rPr>
          <w:rFonts w:hint="eastAsia" w:ascii="宋体" w:hAnsi="宋体" w:eastAsia="宋体" w:cs="宋体"/>
          <w:b w:val="0"/>
          <w:bCs/>
          <w:color w:val="auto"/>
          <w:kern w:val="2"/>
          <w:sz w:val="22"/>
          <w:szCs w:val="22"/>
          <w:highlight w:val="none"/>
          <w:u w:val="none"/>
        </w:rPr>
        <w:t>设备（</w:t>
      </w:r>
      <w:r>
        <w:rPr>
          <w:rFonts w:hint="eastAsia" w:ascii="宋体" w:hAnsi="宋体" w:eastAsia="宋体" w:cs="宋体"/>
          <w:b w:val="0"/>
          <w:bCs/>
          <w:color w:val="auto"/>
          <w:kern w:val="2"/>
          <w:sz w:val="22"/>
          <w:szCs w:val="22"/>
          <w:highlight w:val="none"/>
          <w:u w:val="none"/>
          <w:lang w:eastAsia="zh-CN"/>
        </w:rPr>
        <w:t>以资产移交清单为准</w:t>
      </w:r>
      <w:r>
        <w:rPr>
          <w:rFonts w:hint="eastAsia" w:ascii="宋体" w:hAnsi="宋体" w:eastAsia="宋体" w:cs="宋体"/>
          <w:b w:val="0"/>
          <w:bCs/>
          <w:color w:val="auto"/>
          <w:kern w:val="2"/>
          <w:sz w:val="22"/>
          <w:szCs w:val="22"/>
          <w:highlight w:val="none"/>
          <w:u w:val="none"/>
        </w:rPr>
        <w:t>），</w:t>
      </w:r>
      <w:r>
        <w:rPr>
          <w:rFonts w:hint="eastAsia" w:ascii="宋体" w:hAnsi="宋体" w:eastAsia="宋体" w:cs="宋体"/>
          <w:color w:val="auto"/>
          <w:kern w:val="2"/>
          <w:sz w:val="22"/>
          <w:szCs w:val="22"/>
          <w:highlight w:val="none"/>
          <w:u w:val="none"/>
          <w:lang w:val="en-US" w:eastAsia="zh-CN"/>
        </w:rPr>
        <w:t>在经营过程中</w:t>
      </w:r>
      <w:r>
        <w:rPr>
          <w:rFonts w:hint="eastAsia" w:ascii="宋体" w:hAnsi="宋体" w:eastAsia="宋体" w:cs="宋体"/>
          <w:b w:val="0"/>
          <w:bCs/>
          <w:color w:val="auto"/>
          <w:kern w:val="2"/>
          <w:sz w:val="22"/>
          <w:szCs w:val="22"/>
          <w:highlight w:val="none"/>
          <w:u w:val="none"/>
        </w:rPr>
        <w:t>供</w:t>
      </w:r>
      <w:r>
        <w:rPr>
          <w:rFonts w:hint="eastAsia" w:ascii="宋体" w:hAnsi="宋体" w:eastAsia="宋体" w:cs="宋体"/>
          <w:b w:val="0"/>
          <w:bCs/>
          <w:color w:val="auto"/>
          <w:kern w:val="2"/>
          <w:sz w:val="22"/>
          <w:szCs w:val="22"/>
          <w:highlight w:val="none"/>
          <w:u w:val="none"/>
          <w:lang w:val="en-US" w:eastAsia="zh-CN"/>
        </w:rPr>
        <w:t>投标人</w:t>
      </w:r>
      <w:r>
        <w:rPr>
          <w:rFonts w:hint="eastAsia" w:ascii="宋体" w:hAnsi="宋体" w:eastAsia="宋体" w:cs="宋体"/>
          <w:b w:val="0"/>
          <w:bCs/>
          <w:color w:val="auto"/>
          <w:kern w:val="2"/>
          <w:sz w:val="22"/>
          <w:szCs w:val="22"/>
          <w:highlight w:val="none"/>
          <w:u w:val="none"/>
        </w:rPr>
        <w:t>免费使用</w:t>
      </w:r>
      <w:r>
        <w:rPr>
          <w:rFonts w:hint="eastAsia" w:ascii="宋体" w:hAnsi="宋体" w:eastAsia="宋体" w:cs="宋体"/>
          <w:color w:val="auto"/>
          <w:kern w:val="2"/>
          <w:sz w:val="22"/>
          <w:szCs w:val="22"/>
          <w:highlight w:val="none"/>
          <w:u w:val="none"/>
          <w:lang w:val="en-US" w:eastAsia="zh-CN"/>
        </w:rPr>
        <w:t>，投标人负责经营场所内及周边的所有日常维修维护和经营期内的设施、设备维修维护</w:t>
      </w:r>
      <w:r>
        <w:rPr>
          <w:rFonts w:hint="eastAsia" w:ascii="宋体" w:hAnsi="宋体" w:eastAsia="宋体" w:cs="宋体"/>
          <w:b w:val="0"/>
          <w:bCs/>
          <w:color w:val="auto"/>
          <w:kern w:val="2"/>
          <w:sz w:val="22"/>
          <w:szCs w:val="22"/>
          <w:highlight w:val="none"/>
          <w:u w:val="none"/>
        </w:rPr>
        <w:t>保管、维护及维修</w:t>
      </w:r>
      <w:r>
        <w:rPr>
          <w:rFonts w:hint="eastAsia" w:ascii="宋体" w:hAnsi="宋体" w:eastAsia="宋体" w:cs="宋体"/>
          <w:color w:val="auto"/>
          <w:kern w:val="2"/>
          <w:sz w:val="22"/>
          <w:szCs w:val="22"/>
          <w:highlight w:val="none"/>
          <w:u w:val="none"/>
          <w:lang w:val="en-US" w:eastAsia="zh-CN"/>
        </w:rPr>
        <w:t>（包含但不限于：厨房设施设备、灯光照明系统、烟道清洗、油烟净化系统、上下水系统、配电系统、地沟内设施、排水出口至排水主干管以内的排水设施等）并承担相关费用</w:t>
      </w:r>
      <w:r>
        <w:rPr>
          <w:rFonts w:hint="eastAsia" w:ascii="宋体" w:hAnsi="宋体" w:eastAsia="宋体" w:cs="宋体"/>
          <w:b w:val="0"/>
          <w:bCs/>
          <w:color w:val="auto"/>
          <w:kern w:val="2"/>
          <w:sz w:val="22"/>
          <w:szCs w:val="22"/>
          <w:highlight w:val="none"/>
          <w:u w:val="none"/>
        </w:rPr>
        <w:t>。</w:t>
      </w:r>
      <w:r>
        <w:rPr>
          <w:rFonts w:hint="eastAsia" w:ascii="宋体" w:hAnsi="宋体" w:eastAsia="宋体" w:cs="宋体"/>
          <w:b w:val="0"/>
          <w:bCs/>
          <w:color w:val="auto"/>
          <w:kern w:val="2"/>
          <w:sz w:val="22"/>
          <w:szCs w:val="22"/>
          <w:highlight w:val="none"/>
          <w:u w:val="none"/>
          <w:lang w:val="en-US" w:eastAsia="zh-CN"/>
        </w:rPr>
        <w:t>合同结束时由采购人清点，对于丢失和损坏的设施设备，由投标人照价赔偿。</w:t>
      </w:r>
      <w:r>
        <w:rPr>
          <w:rFonts w:hint="eastAsia" w:ascii="宋体" w:hAnsi="宋体" w:eastAsia="宋体" w:cs="宋体"/>
          <w:b w:val="0"/>
          <w:bCs/>
          <w:color w:val="auto"/>
          <w:kern w:val="2"/>
          <w:sz w:val="22"/>
          <w:szCs w:val="22"/>
          <w:highlight w:val="none"/>
          <w:u w:val="none"/>
        </w:rPr>
        <w:t>同时，</w:t>
      </w:r>
      <w:r>
        <w:rPr>
          <w:rFonts w:hint="eastAsia" w:ascii="宋体" w:hAnsi="宋体" w:eastAsia="宋体" w:cs="宋体"/>
          <w:b w:val="0"/>
          <w:bCs/>
          <w:color w:val="auto"/>
          <w:kern w:val="2"/>
          <w:sz w:val="22"/>
          <w:szCs w:val="22"/>
          <w:highlight w:val="none"/>
          <w:u w:val="none"/>
          <w:lang w:val="en-US" w:eastAsia="zh-CN"/>
        </w:rPr>
        <w:t>投标人</w:t>
      </w:r>
      <w:r>
        <w:rPr>
          <w:rFonts w:hint="eastAsia" w:ascii="宋体" w:hAnsi="宋体" w:eastAsia="宋体" w:cs="宋体"/>
          <w:b w:val="0"/>
          <w:bCs/>
          <w:color w:val="auto"/>
          <w:kern w:val="2"/>
          <w:sz w:val="22"/>
          <w:szCs w:val="22"/>
          <w:highlight w:val="none"/>
          <w:u w:val="none"/>
        </w:rPr>
        <w:t>在经营</w:t>
      </w:r>
      <w:r>
        <w:rPr>
          <w:rFonts w:hint="eastAsia" w:ascii="宋体" w:hAnsi="宋体" w:eastAsia="宋体" w:cs="宋体"/>
          <w:b w:val="0"/>
          <w:bCs/>
          <w:color w:val="auto"/>
          <w:kern w:val="2"/>
          <w:sz w:val="22"/>
          <w:szCs w:val="22"/>
          <w:highlight w:val="none"/>
          <w:u w:val="none"/>
          <w:lang w:eastAsia="zh-CN"/>
        </w:rPr>
        <w:t>采购人</w:t>
      </w:r>
      <w:r>
        <w:rPr>
          <w:rFonts w:hint="eastAsia" w:ascii="宋体" w:hAnsi="宋体" w:eastAsia="宋体" w:cs="宋体"/>
          <w:b w:val="0"/>
          <w:bCs/>
          <w:color w:val="auto"/>
          <w:kern w:val="2"/>
          <w:sz w:val="22"/>
          <w:szCs w:val="22"/>
          <w:highlight w:val="none"/>
          <w:u w:val="none"/>
        </w:rPr>
        <w:t>食堂的过程中，厨房设备如有不足，因需要添置</w:t>
      </w:r>
      <w:r>
        <w:rPr>
          <w:rFonts w:hint="eastAsia" w:ascii="宋体" w:hAnsi="宋体" w:eastAsia="宋体" w:cs="宋体"/>
          <w:b w:val="0"/>
          <w:bCs/>
          <w:color w:val="auto"/>
          <w:kern w:val="2"/>
          <w:sz w:val="22"/>
          <w:szCs w:val="22"/>
          <w:highlight w:val="none"/>
          <w:u w:val="none"/>
          <w:lang w:val="en-US" w:eastAsia="zh-CN"/>
        </w:rPr>
        <w:t>除采购人</w:t>
      </w:r>
      <w:r>
        <w:rPr>
          <w:rFonts w:hint="eastAsia" w:ascii="宋体" w:hAnsi="宋体" w:eastAsia="宋体" w:cs="宋体"/>
          <w:b w:val="0"/>
          <w:bCs/>
          <w:color w:val="auto"/>
          <w:kern w:val="2"/>
          <w:sz w:val="22"/>
          <w:szCs w:val="22"/>
          <w:highlight w:val="none"/>
          <w:u w:val="none"/>
        </w:rPr>
        <w:t>提供以外的设备设施，</w:t>
      </w:r>
      <w:r>
        <w:rPr>
          <w:rFonts w:hint="eastAsia" w:ascii="宋体" w:hAnsi="宋体" w:eastAsia="宋体" w:cs="宋体"/>
          <w:b w:val="0"/>
          <w:bCs/>
          <w:color w:val="auto"/>
          <w:kern w:val="2"/>
          <w:sz w:val="22"/>
          <w:szCs w:val="22"/>
          <w:highlight w:val="none"/>
          <w:u w:val="none"/>
          <w:lang w:val="en-US" w:eastAsia="zh-CN"/>
        </w:rPr>
        <w:t>投标人</w:t>
      </w:r>
      <w:r>
        <w:rPr>
          <w:rFonts w:hint="eastAsia" w:ascii="宋体" w:hAnsi="宋体" w:eastAsia="宋体" w:cs="宋体"/>
          <w:b w:val="0"/>
          <w:bCs/>
          <w:color w:val="auto"/>
          <w:kern w:val="2"/>
          <w:sz w:val="22"/>
          <w:szCs w:val="22"/>
          <w:highlight w:val="none"/>
          <w:u w:val="none"/>
        </w:rPr>
        <w:t>向</w:t>
      </w:r>
      <w:r>
        <w:rPr>
          <w:rFonts w:hint="eastAsia" w:ascii="宋体" w:hAnsi="宋体" w:eastAsia="宋体" w:cs="宋体"/>
          <w:b w:val="0"/>
          <w:bCs/>
          <w:color w:val="auto"/>
          <w:kern w:val="2"/>
          <w:sz w:val="22"/>
          <w:szCs w:val="22"/>
          <w:highlight w:val="none"/>
          <w:u w:val="none"/>
          <w:lang w:val="en-US" w:eastAsia="zh-CN"/>
        </w:rPr>
        <w:t>采购人</w:t>
      </w:r>
      <w:r>
        <w:rPr>
          <w:rFonts w:hint="eastAsia" w:ascii="宋体" w:hAnsi="宋体" w:eastAsia="宋体" w:cs="宋体"/>
          <w:b w:val="0"/>
          <w:bCs/>
          <w:color w:val="auto"/>
          <w:kern w:val="2"/>
          <w:sz w:val="22"/>
          <w:szCs w:val="22"/>
          <w:highlight w:val="none"/>
          <w:u w:val="none"/>
        </w:rPr>
        <w:t>提出采购报备后由</w:t>
      </w:r>
      <w:r>
        <w:rPr>
          <w:rFonts w:hint="eastAsia" w:ascii="宋体" w:hAnsi="宋体" w:eastAsia="宋体" w:cs="宋体"/>
          <w:b w:val="0"/>
          <w:bCs/>
          <w:color w:val="auto"/>
          <w:kern w:val="2"/>
          <w:sz w:val="22"/>
          <w:szCs w:val="22"/>
          <w:highlight w:val="none"/>
          <w:u w:val="none"/>
          <w:lang w:val="en-US" w:eastAsia="zh-CN"/>
        </w:rPr>
        <w:t>投标人</w:t>
      </w:r>
      <w:r>
        <w:rPr>
          <w:rFonts w:hint="eastAsia" w:ascii="宋体" w:hAnsi="宋体" w:eastAsia="宋体" w:cs="宋体"/>
          <w:b w:val="0"/>
          <w:bCs/>
          <w:color w:val="auto"/>
          <w:kern w:val="2"/>
          <w:sz w:val="22"/>
          <w:szCs w:val="22"/>
          <w:highlight w:val="none"/>
          <w:u w:val="none"/>
        </w:rPr>
        <w:t>负责采购到位，所有权归</w:t>
      </w:r>
      <w:r>
        <w:rPr>
          <w:rFonts w:hint="eastAsia" w:ascii="宋体" w:hAnsi="宋体" w:eastAsia="宋体" w:cs="宋体"/>
          <w:b w:val="0"/>
          <w:bCs/>
          <w:color w:val="auto"/>
          <w:kern w:val="2"/>
          <w:sz w:val="22"/>
          <w:szCs w:val="22"/>
          <w:highlight w:val="none"/>
          <w:u w:val="none"/>
          <w:lang w:val="en-US" w:eastAsia="zh-CN"/>
        </w:rPr>
        <w:t>投标人</w:t>
      </w:r>
      <w:r>
        <w:rPr>
          <w:rFonts w:hint="eastAsia" w:ascii="宋体" w:hAnsi="宋体" w:eastAsia="宋体" w:cs="宋体"/>
          <w:b w:val="0"/>
          <w:bCs/>
          <w:color w:val="auto"/>
          <w:kern w:val="2"/>
          <w:sz w:val="22"/>
          <w:szCs w:val="22"/>
          <w:highlight w:val="none"/>
          <w:u w:val="none"/>
        </w:rPr>
        <w:t>，项目结束后</w:t>
      </w:r>
      <w:r>
        <w:rPr>
          <w:rFonts w:hint="eastAsia" w:ascii="宋体" w:hAnsi="宋体" w:eastAsia="宋体" w:cs="宋体"/>
          <w:b w:val="0"/>
          <w:bCs/>
          <w:color w:val="auto"/>
          <w:kern w:val="2"/>
          <w:sz w:val="22"/>
          <w:szCs w:val="22"/>
          <w:highlight w:val="none"/>
          <w:u w:val="none"/>
          <w:lang w:val="en-US" w:eastAsia="zh-CN"/>
        </w:rPr>
        <w:t>投标人</w:t>
      </w:r>
      <w:r>
        <w:rPr>
          <w:rFonts w:hint="eastAsia" w:ascii="宋体" w:hAnsi="宋体" w:eastAsia="宋体" w:cs="宋体"/>
          <w:b w:val="0"/>
          <w:bCs/>
          <w:color w:val="auto"/>
          <w:kern w:val="2"/>
          <w:sz w:val="22"/>
          <w:szCs w:val="22"/>
          <w:highlight w:val="none"/>
          <w:u w:val="none"/>
        </w:rPr>
        <w:t>添置的用具或设备在项目终止后经</w:t>
      </w:r>
      <w:r>
        <w:rPr>
          <w:rFonts w:hint="eastAsia" w:ascii="宋体" w:hAnsi="宋体" w:eastAsia="宋体" w:cs="宋体"/>
          <w:b w:val="0"/>
          <w:bCs/>
          <w:color w:val="auto"/>
          <w:kern w:val="2"/>
          <w:sz w:val="22"/>
          <w:szCs w:val="22"/>
          <w:highlight w:val="none"/>
          <w:u w:val="none"/>
          <w:lang w:val="en-US" w:eastAsia="zh-CN"/>
        </w:rPr>
        <w:t>采购人</w:t>
      </w:r>
      <w:r>
        <w:rPr>
          <w:rFonts w:hint="eastAsia" w:ascii="宋体" w:hAnsi="宋体" w:eastAsia="宋体" w:cs="宋体"/>
          <w:b w:val="0"/>
          <w:bCs/>
          <w:color w:val="auto"/>
          <w:kern w:val="2"/>
          <w:sz w:val="22"/>
          <w:szCs w:val="22"/>
          <w:highlight w:val="none"/>
          <w:u w:val="none"/>
        </w:rPr>
        <w:t>资产管理员签字后由</w:t>
      </w:r>
      <w:r>
        <w:rPr>
          <w:rFonts w:hint="eastAsia" w:ascii="宋体" w:hAnsi="宋体" w:eastAsia="宋体" w:cs="宋体"/>
          <w:b w:val="0"/>
          <w:bCs/>
          <w:color w:val="auto"/>
          <w:kern w:val="2"/>
          <w:sz w:val="22"/>
          <w:szCs w:val="22"/>
          <w:highlight w:val="none"/>
          <w:u w:val="none"/>
          <w:lang w:val="en-US" w:eastAsia="zh-CN"/>
        </w:rPr>
        <w:t>投标人</w:t>
      </w:r>
      <w:r>
        <w:rPr>
          <w:rFonts w:hint="eastAsia" w:ascii="宋体" w:hAnsi="宋体" w:eastAsia="宋体" w:cs="宋体"/>
          <w:b w:val="0"/>
          <w:bCs/>
          <w:color w:val="auto"/>
          <w:kern w:val="2"/>
          <w:sz w:val="22"/>
          <w:szCs w:val="22"/>
          <w:highlight w:val="none"/>
          <w:u w:val="none"/>
        </w:rPr>
        <w:t>带走。</w:t>
      </w:r>
    </w:p>
    <w:p w14:paraId="60F4E4A2">
      <w:pPr>
        <w:keepNext w:val="0"/>
        <w:keepLines w:val="0"/>
        <w:pageBreakBefore w:val="0"/>
        <w:widowControl w:val="0"/>
        <w:kinsoku/>
        <w:overflowPunct/>
        <w:topLinePunct w:val="0"/>
        <w:autoSpaceDE w:val="0"/>
        <w:autoSpaceDN/>
        <w:bidi w:val="0"/>
        <w:adjustRightInd/>
        <w:snapToGrid w:val="0"/>
        <w:spacing w:before="0" w:line="360" w:lineRule="auto"/>
        <w:ind w:right="0" w:firstLine="442" w:firstLineChars="200"/>
        <w:jc w:val="both"/>
        <w:textAlignment w:val="auto"/>
        <w:rPr>
          <w:rFonts w:hint="eastAsia" w:ascii="宋体" w:hAnsi="宋体" w:eastAsia="宋体" w:cs="宋体"/>
          <w:b/>
          <w:color w:val="auto"/>
          <w:kern w:val="2"/>
          <w:sz w:val="22"/>
          <w:szCs w:val="22"/>
          <w:highlight w:val="none"/>
          <w:lang w:val="en-US" w:eastAsia="zh-CN" w:bidi="ar-SA"/>
        </w:rPr>
      </w:pPr>
      <w:r>
        <w:rPr>
          <w:rFonts w:hint="eastAsia" w:ascii="宋体" w:hAnsi="宋体" w:eastAsia="宋体" w:cs="宋体"/>
          <w:b/>
          <w:color w:val="auto"/>
          <w:kern w:val="2"/>
          <w:sz w:val="22"/>
          <w:szCs w:val="22"/>
          <w:highlight w:val="none"/>
          <w:lang w:val="en-US" w:eastAsia="zh-CN" w:bidi="ar-SA"/>
        </w:rPr>
        <w:t>2.食堂改造装修。</w:t>
      </w:r>
    </w:p>
    <w:p w14:paraId="357313DF">
      <w:pPr>
        <w:keepNext w:val="0"/>
        <w:keepLines w:val="0"/>
        <w:pageBreakBefore w:val="0"/>
        <w:widowControl w:val="0"/>
        <w:kinsoku/>
        <w:overflowPunct/>
        <w:topLinePunct w:val="0"/>
        <w:autoSpaceDE w:val="0"/>
        <w:autoSpaceDN/>
        <w:bidi w:val="0"/>
        <w:adjustRightInd/>
        <w:snapToGrid w:val="0"/>
        <w:spacing w:before="0" w:line="360" w:lineRule="auto"/>
        <w:ind w:right="0" w:firstLine="440" w:firstLineChars="200"/>
        <w:jc w:val="both"/>
        <w:textAlignment w:val="auto"/>
        <w:rPr>
          <w:rFonts w:hint="eastAsia" w:ascii="宋体" w:hAnsi="宋体" w:eastAsia="宋体" w:cs="宋体"/>
          <w:b w:val="0"/>
          <w:bCs/>
          <w:color w:val="auto"/>
          <w:kern w:val="2"/>
          <w:sz w:val="22"/>
          <w:szCs w:val="22"/>
          <w:highlight w:val="none"/>
          <w:u w:val="none"/>
          <w:lang w:val="en-US" w:eastAsia="zh-CN"/>
        </w:rPr>
      </w:pPr>
      <w:r>
        <w:rPr>
          <w:rFonts w:hint="eastAsia" w:ascii="宋体" w:hAnsi="宋体" w:eastAsia="宋体" w:cs="宋体"/>
          <w:b w:val="0"/>
          <w:bCs/>
          <w:color w:val="auto"/>
          <w:kern w:val="2"/>
          <w:sz w:val="22"/>
          <w:szCs w:val="22"/>
          <w:highlight w:val="none"/>
          <w:u w:val="none"/>
          <w:lang w:val="en-US" w:eastAsia="zh-CN"/>
        </w:rPr>
        <w:t>食堂已具备入驻、开办条件。</w:t>
      </w:r>
      <w:r>
        <w:rPr>
          <w:rFonts w:hint="eastAsia" w:ascii="宋体" w:hAnsi="宋体" w:eastAsia="宋体" w:cs="宋体"/>
          <w:b w:val="0"/>
          <w:bCs/>
          <w:i w:val="0"/>
          <w:iCs w:val="0"/>
          <w:color w:val="auto"/>
          <w:kern w:val="2"/>
          <w:sz w:val="22"/>
          <w:szCs w:val="22"/>
          <w:highlight w:val="none"/>
          <w:u w:val="none"/>
          <w:vertAlign w:val="baseline"/>
          <w:lang w:val="en-US" w:eastAsia="zh-CN" w:bidi="ar-SA"/>
        </w:rPr>
        <w:t>经营</w:t>
      </w:r>
      <w:r>
        <w:rPr>
          <w:rFonts w:hint="eastAsia" w:ascii="宋体" w:hAnsi="宋体" w:eastAsia="宋体" w:cs="宋体"/>
          <w:b w:val="0"/>
          <w:bCs/>
          <w:i w:val="0"/>
          <w:iCs w:val="0"/>
          <w:color w:val="auto"/>
          <w:kern w:val="2"/>
          <w:sz w:val="22"/>
          <w:szCs w:val="22"/>
          <w:highlight w:val="none"/>
          <w:u w:val="none"/>
          <w:vertAlign w:val="baseline"/>
          <w:lang w:val="en-US" w:eastAsia="zh-CN"/>
        </w:rPr>
        <w:t>期内，投标人不得擅自改变房屋结构（餐厅、操作间、室外楼梯等均属于投标人管理范围）和设备设施位置（包括水电线路及土建），如确因经营需要，需征得采购人同意；服务期满，采购人将组织人员对房屋、设备进行检查，验收合格后方可解除协议，如有自行改动，必须修复或予以赔偿</w:t>
      </w:r>
      <w:r>
        <w:rPr>
          <w:rFonts w:hint="eastAsia" w:ascii="宋体" w:hAnsi="宋体" w:eastAsia="宋体" w:cs="宋体"/>
          <w:b w:val="0"/>
          <w:bCs/>
          <w:i w:val="0"/>
          <w:iCs w:val="0"/>
          <w:color w:val="auto"/>
          <w:kern w:val="2"/>
          <w:sz w:val="22"/>
          <w:szCs w:val="22"/>
          <w:highlight w:val="none"/>
          <w:u w:val="none"/>
          <w:vertAlign w:val="baseline"/>
          <w:lang w:val="en-US" w:eastAsia="zh-CN" w:bidi="ar-SA"/>
        </w:rPr>
        <w:t>。</w:t>
      </w:r>
    </w:p>
    <w:p w14:paraId="5CE602F9">
      <w:pPr>
        <w:spacing w:line="360" w:lineRule="auto"/>
        <w:ind w:firstLine="442" w:firstLineChars="20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lang w:eastAsia="zh-CN"/>
        </w:rPr>
        <w:t>（</w:t>
      </w:r>
      <w:r>
        <w:rPr>
          <w:rFonts w:hint="eastAsia" w:ascii="宋体" w:hAnsi="宋体" w:eastAsia="宋体" w:cs="宋体"/>
          <w:b/>
          <w:bCs/>
          <w:color w:val="auto"/>
          <w:sz w:val="22"/>
          <w:szCs w:val="22"/>
          <w:highlight w:val="none"/>
          <w:lang w:val="en-US" w:eastAsia="zh-CN"/>
        </w:rPr>
        <w:t>三</w:t>
      </w:r>
      <w:r>
        <w:rPr>
          <w:rFonts w:hint="eastAsia" w:ascii="宋体" w:hAnsi="宋体" w:eastAsia="宋体" w:cs="宋体"/>
          <w:b/>
          <w:bCs/>
          <w:color w:val="auto"/>
          <w:sz w:val="22"/>
          <w:szCs w:val="22"/>
          <w:highlight w:val="none"/>
          <w:lang w:eastAsia="zh-CN"/>
        </w:rPr>
        <w:t>）</w:t>
      </w:r>
      <w:r>
        <w:rPr>
          <w:rFonts w:hint="eastAsia" w:ascii="宋体" w:hAnsi="宋体" w:eastAsia="宋体" w:cs="宋体"/>
          <w:b/>
          <w:bCs/>
          <w:color w:val="auto"/>
          <w:sz w:val="22"/>
          <w:szCs w:val="22"/>
          <w:highlight w:val="none"/>
        </w:rPr>
        <w:t>特别声明</w:t>
      </w:r>
    </w:p>
    <w:p w14:paraId="3E246322">
      <w:pPr>
        <w:spacing w:line="360" w:lineRule="auto"/>
        <w:ind w:firstLine="440" w:firstLineChars="200"/>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u w:val="single"/>
        </w:rPr>
        <w:t>▲</w:t>
      </w:r>
      <w:r>
        <w:rPr>
          <w:rFonts w:hint="eastAsia" w:ascii="宋体" w:hAnsi="宋体" w:eastAsia="宋体" w:cs="宋体"/>
          <w:b/>
          <w:bCs/>
          <w:color w:val="auto"/>
          <w:sz w:val="22"/>
          <w:szCs w:val="22"/>
          <w:highlight w:val="none"/>
          <w:u w:val="single"/>
        </w:rPr>
        <w:t>如遇国家、学校政策、</w:t>
      </w:r>
      <w:r>
        <w:rPr>
          <w:rFonts w:hint="eastAsia" w:ascii="宋体" w:hAnsi="宋体" w:eastAsia="宋体" w:cs="宋体"/>
          <w:b/>
          <w:bCs/>
          <w:color w:val="auto"/>
          <w:sz w:val="22"/>
          <w:szCs w:val="22"/>
          <w:highlight w:val="none"/>
          <w:u w:val="single"/>
          <w:lang w:val="en-US" w:eastAsia="zh-CN"/>
        </w:rPr>
        <w:t>采购人</w:t>
      </w:r>
      <w:r>
        <w:rPr>
          <w:rFonts w:hint="eastAsia" w:ascii="宋体" w:hAnsi="宋体" w:eastAsia="宋体" w:cs="宋体"/>
          <w:b/>
          <w:bCs/>
          <w:color w:val="auto"/>
          <w:sz w:val="22"/>
          <w:szCs w:val="22"/>
          <w:highlight w:val="none"/>
          <w:u w:val="single"/>
        </w:rPr>
        <w:t>商业布局调整，</w:t>
      </w:r>
      <w:r>
        <w:rPr>
          <w:rFonts w:hint="eastAsia" w:ascii="宋体" w:hAnsi="宋体" w:eastAsia="宋体" w:cs="宋体"/>
          <w:b/>
          <w:bCs/>
          <w:color w:val="auto"/>
          <w:sz w:val="22"/>
          <w:szCs w:val="22"/>
          <w:highlight w:val="none"/>
          <w:u w:val="single"/>
          <w:lang w:val="en-US" w:eastAsia="zh-CN"/>
        </w:rPr>
        <w:t>中标人</w:t>
      </w:r>
      <w:r>
        <w:rPr>
          <w:rFonts w:hint="eastAsia" w:ascii="宋体" w:hAnsi="宋体" w:eastAsia="宋体" w:cs="宋体"/>
          <w:b/>
          <w:bCs/>
          <w:color w:val="auto"/>
          <w:sz w:val="22"/>
          <w:szCs w:val="22"/>
          <w:highlight w:val="none"/>
          <w:u w:val="single"/>
        </w:rPr>
        <w:t>须无条件退出；采购人不赔偿装修、经营及其它任何损失；</w:t>
      </w:r>
    </w:p>
    <w:p w14:paraId="4FA6170D">
      <w:pPr>
        <w:spacing w:line="360" w:lineRule="auto"/>
        <w:ind w:firstLine="440" w:firstLineChars="200"/>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u w:val="single"/>
        </w:rPr>
        <w:t>▲</w:t>
      </w:r>
      <w:r>
        <w:rPr>
          <w:rFonts w:hint="eastAsia" w:ascii="宋体" w:hAnsi="宋体" w:eastAsia="宋体" w:cs="宋体"/>
          <w:b/>
          <w:bCs/>
          <w:color w:val="auto"/>
          <w:sz w:val="22"/>
          <w:szCs w:val="22"/>
          <w:highlight w:val="none"/>
          <w:u w:val="single"/>
          <w:lang w:val="en-US" w:eastAsia="zh-CN"/>
        </w:rPr>
        <w:t>其他未尽事宜详见本招标文件第三部分拟签订的合同文本相关规定。</w:t>
      </w:r>
    </w:p>
    <w:p w14:paraId="2720C93F"/>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D96469"/>
    <w:rsid w:val="173E3E7F"/>
    <w:rsid w:val="245B25F3"/>
    <w:rsid w:val="4EDA2C50"/>
    <w:rsid w:val="758A0D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adjustRightInd w:val="0"/>
      <w:spacing w:after="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10"/>
    <w:qFormat/>
    <w:uiPriority w:val="0"/>
    <w:pPr>
      <w:keepNext/>
      <w:keepLines/>
      <w:widowControl w:val="0"/>
      <w:tabs>
        <w:tab w:val="left" w:pos="420"/>
      </w:tabs>
      <w:adjustRightInd w:val="0"/>
      <w:spacing w:before="340" w:after="330" w:line="578" w:lineRule="auto"/>
      <w:ind w:left="432" w:right="0" w:hanging="420"/>
      <w:jc w:val="both"/>
      <w:outlineLvl w:val="0"/>
    </w:pPr>
    <w:rPr>
      <w:rFonts w:ascii="Times New Roman" w:hAnsi="Times New Roman" w:eastAsia="宋体" w:cs="Times New Roman"/>
      <w:b/>
      <w:bCs/>
      <w:kern w:val="44"/>
      <w:sz w:val="44"/>
      <w:szCs w:val="4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rFonts w:ascii="Times New Roman" w:hAnsi="Times New Roman" w:eastAsia="宋体" w:cs="Times New Roman"/>
    </w:rPr>
  </w:style>
  <w:style w:type="paragraph" w:styleId="3">
    <w:name w:val="Body Text"/>
    <w:basedOn w:val="1"/>
    <w:uiPriority w:val="0"/>
    <w:pPr>
      <w:widowControl w:val="0"/>
      <w:autoSpaceDE w:val="0"/>
      <w:autoSpaceDN w:val="0"/>
      <w:adjustRightInd w:val="0"/>
      <w:spacing w:after="0" w:line="360" w:lineRule="auto"/>
      <w:jc w:val="both"/>
    </w:pPr>
    <w:rPr>
      <w:rFonts w:ascii="宋体" w:hAnsi="Arial" w:eastAsia="宋体" w:cs="Arial"/>
      <w:snapToGrid w:val="0"/>
      <w:kern w:val="2"/>
      <w:sz w:val="24"/>
      <w:szCs w:val="21"/>
      <w:lang w:val="zh-CN" w:eastAsia="zh-CN" w:bidi="ar-SA"/>
    </w:rPr>
  </w:style>
  <w:style w:type="paragraph" w:styleId="5">
    <w:name w:val="Plain Text"/>
    <w:basedOn w:val="1"/>
    <w:qFormat/>
    <w:uiPriority w:val="0"/>
    <w:pPr>
      <w:widowControl w:val="0"/>
      <w:adjustRightInd w:val="0"/>
      <w:spacing w:after="0"/>
      <w:jc w:val="both"/>
    </w:pPr>
    <w:rPr>
      <w:rFonts w:ascii="宋体" w:hAnsi="Courier New" w:eastAsia="宋体" w:cs="Arial"/>
      <w:snapToGrid w:val="0"/>
      <w:kern w:val="2"/>
      <w:sz w:val="21"/>
      <w:szCs w:val="21"/>
      <w:lang w:val="en-US" w:eastAsia="zh-CN" w:bidi="ar-SA"/>
    </w:rPr>
  </w:style>
  <w:style w:type="paragraph" w:styleId="6">
    <w:name w:val="Body Text First Indent 2"/>
    <w:basedOn w:val="1"/>
    <w:next w:val="1"/>
    <w:qFormat/>
    <w:uiPriority w:val="0"/>
    <w:pPr>
      <w:spacing w:after="120"/>
      <w:ind w:left="420" w:leftChars="200" w:firstLine="420" w:firstLineChars="200"/>
    </w:pPr>
    <w:rPr>
      <w:rFonts w:ascii="Times New Roman" w:hAnsi="Times New Roman" w:eastAsia="宋体" w:cs="Times New Roman"/>
      <w:sz w:val="21"/>
    </w:rPr>
  </w:style>
  <w:style w:type="character" w:styleId="9">
    <w:name w:val="Strong"/>
    <w:qFormat/>
    <w:uiPriority w:val="0"/>
    <w:rPr>
      <w:rFonts w:ascii="Times New Roman" w:hAnsi="Times New Roman" w:eastAsia="宋体" w:cs="Times New Roman"/>
      <w:b/>
      <w:bCs/>
    </w:rPr>
  </w:style>
  <w:style w:type="character" w:customStyle="1" w:styleId="10">
    <w:name w:val="标题 1 Char"/>
    <w:link w:val="4"/>
    <w:qFormat/>
    <w:uiPriority w:val="0"/>
    <w:rPr>
      <w:rFonts w:ascii="Times New Roman" w:hAnsi="Times New Roman" w:eastAsia="宋体" w:cs="Times New Roman"/>
      <w:b/>
      <w:bCs/>
      <w:kern w:val="44"/>
      <w:sz w:val="44"/>
      <w:szCs w:val="4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3094</Words>
  <Characters>3190</Characters>
  <Lines>0</Lines>
  <Paragraphs>0</Paragraphs>
  <TotalTime>0</TotalTime>
  <ScaleCrop>false</ScaleCrop>
  <LinksUpToDate>false</LinksUpToDate>
  <CharactersWithSpaces>3193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Tom</cp:lastModifiedBy>
  <dcterms:modified xsi:type="dcterms:W3CDTF">2026-04-24T08:36:51Z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eyJoZGlkIjoiZDU2NDVhZTNhOGUwYmExOWE0MTkyMzYyMjJlN2MxYmUiLCJ1c2VySWQiOiIyNzk2NTYzMzgifQ==</vt:lpwstr>
  </property>
  <property fmtid="{D5CDD505-2E9C-101B-9397-08002B2CF9AE}" pid="4" name="ICV">
    <vt:lpwstr>307411F1A2E048F79D6541CB46DCB393_12</vt:lpwstr>
  </property>
</Properties>
</file>