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E37BA">
      <w:pPr>
        <w:pStyle w:val="5"/>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第二部分   采购内容及要求</w:t>
      </w:r>
    </w:p>
    <w:p w14:paraId="134EB897">
      <w:pPr>
        <w:keepNext w:val="0"/>
        <w:keepLines w:val="0"/>
        <w:pageBreakBefore w:val="0"/>
        <w:kinsoku/>
        <w:wordWrap/>
        <w:overflowPunct/>
        <w:topLinePunct w:val="0"/>
        <w:autoSpaceDE w:val="0"/>
        <w:autoSpaceDN w:val="0"/>
        <w:bidi w:val="0"/>
        <w:adjustRightInd w:val="0"/>
        <w:snapToGrid w:val="0"/>
        <w:spacing w:line="360" w:lineRule="exact"/>
        <w:jc w:val="left"/>
        <w:textAlignment w:val="bottom"/>
        <w:rPr>
          <w:rFonts w:ascii="宋体" w:hAnsi="宋体" w:cs="宋体"/>
          <w:b/>
          <w:color w:val="auto"/>
          <w:sz w:val="22"/>
          <w:szCs w:val="22"/>
          <w:highlight w:val="none"/>
        </w:rPr>
      </w:pPr>
      <w:r>
        <w:rPr>
          <w:rFonts w:hint="eastAsia" w:ascii="宋体" w:hAnsi="宋体" w:cs="宋体"/>
          <w:b/>
          <w:color w:val="auto"/>
          <w:sz w:val="22"/>
          <w:szCs w:val="22"/>
          <w:highlight w:val="none"/>
        </w:rPr>
        <w:t>一、采购说明</w:t>
      </w:r>
    </w:p>
    <w:p w14:paraId="77EEE51A">
      <w:pPr>
        <w:keepNext w:val="0"/>
        <w:keepLines w:val="0"/>
        <w:pageBreakBefore w:val="0"/>
        <w:widowControl w:val="0"/>
        <w:numPr>
          <w:ilvl w:val="0"/>
          <w:numId w:val="1"/>
        </w:numPr>
        <w:tabs>
          <w:tab w:val="left" w:pos="525"/>
        </w:tabs>
        <w:kinsoku/>
        <w:wordWrap/>
        <w:overflowPunct/>
        <w:topLinePunct w:val="0"/>
        <w:autoSpaceDE w:val="0"/>
        <w:autoSpaceDN w:val="0"/>
        <w:bidi w:val="0"/>
        <w:adjustRightInd w:val="0"/>
        <w:snapToGrid w:val="0"/>
        <w:spacing w:line="360" w:lineRule="exact"/>
        <w:ind w:left="431" w:leftChars="0" w:hanging="431" w:firstLineChars="0"/>
        <w:textAlignment w:val="bottom"/>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此技术规格书只是采购内容的一些原则性规定，并不是完整的详尽的要求，供应商有责任根据所提供产品的实际情况对系统进行科学合理的优化设计，对所提供产品的工艺、安全性、先进性负责，并符合技术规格书的要求。</w:t>
      </w:r>
    </w:p>
    <w:p w14:paraId="7D905E2E">
      <w:pPr>
        <w:keepNext w:val="0"/>
        <w:keepLines w:val="0"/>
        <w:pageBreakBefore w:val="0"/>
        <w:widowControl w:val="0"/>
        <w:numPr>
          <w:ilvl w:val="0"/>
          <w:numId w:val="1"/>
        </w:numPr>
        <w:tabs>
          <w:tab w:val="left" w:pos="525"/>
        </w:tabs>
        <w:kinsoku/>
        <w:wordWrap/>
        <w:overflowPunct/>
        <w:topLinePunct w:val="0"/>
        <w:autoSpaceDE w:val="0"/>
        <w:autoSpaceDN w:val="0"/>
        <w:bidi w:val="0"/>
        <w:adjustRightInd w:val="0"/>
        <w:snapToGrid w:val="0"/>
        <w:spacing w:line="360" w:lineRule="exact"/>
        <w:ind w:left="431" w:leftChars="0" w:hanging="431" w:firstLineChars="0"/>
        <w:textAlignment w:val="bottom"/>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所投产品如与采购要求有细微偏差，业主将有权要求制造商调整偏差，并不改变投标价格。</w:t>
      </w:r>
    </w:p>
    <w:p w14:paraId="3FC80493">
      <w:pPr>
        <w:keepNext w:val="0"/>
        <w:keepLines w:val="0"/>
        <w:pageBreakBefore w:val="0"/>
        <w:widowControl w:val="0"/>
        <w:numPr>
          <w:ilvl w:val="0"/>
          <w:numId w:val="1"/>
        </w:numPr>
        <w:tabs>
          <w:tab w:val="left" w:pos="525"/>
        </w:tabs>
        <w:kinsoku/>
        <w:wordWrap/>
        <w:overflowPunct/>
        <w:topLinePunct w:val="0"/>
        <w:autoSpaceDE w:val="0"/>
        <w:autoSpaceDN w:val="0"/>
        <w:bidi w:val="0"/>
        <w:adjustRightInd w:val="0"/>
        <w:snapToGrid w:val="0"/>
        <w:spacing w:line="360" w:lineRule="exact"/>
        <w:ind w:left="431" w:leftChars="0" w:hanging="431" w:firstLineChars="0"/>
        <w:textAlignment w:val="bottom"/>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供应商须对</w:t>
      </w:r>
      <w:r>
        <w:rPr>
          <w:rFonts w:hint="eastAsia" w:ascii="宋体" w:hAnsi="宋体" w:eastAsia="宋体" w:cs="Times New Roman"/>
          <w:color w:val="auto"/>
          <w:sz w:val="22"/>
          <w:szCs w:val="22"/>
          <w:highlight w:val="none"/>
          <w:lang w:eastAsia="zh-CN"/>
        </w:rPr>
        <w:t>招标文件</w:t>
      </w:r>
      <w:r>
        <w:rPr>
          <w:rFonts w:hint="eastAsia" w:ascii="宋体" w:hAnsi="宋体" w:eastAsia="宋体" w:cs="Times New Roman"/>
          <w:color w:val="auto"/>
          <w:sz w:val="22"/>
          <w:szCs w:val="22"/>
          <w:highlight w:val="none"/>
        </w:rPr>
        <w:t>中的各个条款一一给予实质性答复，不能仅提供产品样本。</w:t>
      </w:r>
    </w:p>
    <w:p w14:paraId="3D3AABF8">
      <w:pPr>
        <w:keepNext w:val="0"/>
        <w:keepLines w:val="0"/>
        <w:pageBreakBefore w:val="0"/>
        <w:widowControl w:val="0"/>
        <w:numPr>
          <w:ilvl w:val="0"/>
          <w:numId w:val="1"/>
        </w:numPr>
        <w:tabs>
          <w:tab w:val="left" w:pos="525"/>
        </w:tabs>
        <w:kinsoku/>
        <w:wordWrap/>
        <w:overflowPunct/>
        <w:topLinePunct w:val="0"/>
        <w:autoSpaceDE w:val="0"/>
        <w:autoSpaceDN w:val="0"/>
        <w:bidi w:val="0"/>
        <w:adjustRightInd w:val="0"/>
        <w:snapToGrid w:val="0"/>
        <w:spacing w:line="360" w:lineRule="exact"/>
        <w:ind w:left="431" w:leftChars="0" w:hanging="431" w:firstLineChars="0"/>
        <w:textAlignment w:val="bottom"/>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供应商须对</w:t>
      </w:r>
      <w:r>
        <w:rPr>
          <w:rFonts w:hint="eastAsia" w:ascii="宋体" w:hAnsi="宋体" w:eastAsia="宋体" w:cs="Times New Roman"/>
          <w:color w:val="auto"/>
          <w:sz w:val="22"/>
          <w:szCs w:val="22"/>
          <w:highlight w:val="none"/>
          <w:lang w:eastAsia="zh-CN"/>
        </w:rPr>
        <w:t>招标文件</w:t>
      </w:r>
      <w:r>
        <w:rPr>
          <w:rFonts w:hint="eastAsia" w:ascii="宋体" w:hAnsi="宋体" w:eastAsia="宋体" w:cs="Times New Roman"/>
          <w:color w:val="auto"/>
          <w:sz w:val="22"/>
          <w:szCs w:val="22"/>
          <w:highlight w:val="none"/>
        </w:rPr>
        <w:t>中涉及到的专利负责，并保证不伤害采购人的利益。在法律范围内，所有文字、商标和技术侵权造成的相关费用，采购人及采购人概不负责。</w:t>
      </w:r>
    </w:p>
    <w:p w14:paraId="1810CE15">
      <w:pPr>
        <w:keepNext w:val="0"/>
        <w:keepLines w:val="0"/>
        <w:pageBreakBefore w:val="0"/>
        <w:widowControl w:val="0"/>
        <w:numPr>
          <w:ilvl w:val="0"/>
          <w:numId w:val="1"/>
        </w:numPr>
        <w:tabs>
          <w:tab w:val="left" w:pos="525"/>
        </w:tabs>
        <w:kinsoku/>
        <w:wordWrap/>
        <w:overflowPunct/>
        <w:topLinePunct w:val="0"/>
        <w:autoSpaceDE w:val="0"/>
        <w:autoSpaceDN w:val="0"/>
        <w:bidi w:val="0"/>
        <w:adjustRightInd w:val="0"/>
        <w:snapToGrid w:val="0"/>
        <w:spacing w:line="360" w:lineRule="exact"/>
        <w:ind w:left="431" w:leftChars="0" w:hanging="431" w:firstLineChars="0"/>
        <w:textAlignment w:val="bottom"/>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供应商所投设备及主要部件的名称、品牌、型号、技术参数、性能、数量、单价、合价、制造商、质保期等应对照招标内容及技术要求列表对应进行说明，在</w:t>
      </w:r>
      <w:r>
        <w:rPr>
          <w:rFonts w:hint="eastAsia" w:ascii="宋体" w:hAnsi="宋体" w:eastAsia="宋体" w:cs="Times New Roman"/>
          <w:color w:val="auto"/>
          <w:sz w:val="22"/>
          <w:szCs w:val="22"/>
          <w:highlight w:val="none"/>
          <w:lang w:eastAsia="zh-CN"/>
        </w:rPr>
        <w:t>投标文件</w:t>
      </w:r>
      <w:r>
        <w:rPr>
          <w:rFonts w:hint="eastAsia" w:ascii="宋体" w:hAnsi="宋体" w:eastAsia="宋体" w:cs="Times New Roman"/>
          <w:color w:val="auto"/>
          <w:sz w:val="22"/>
          <w:szCs w:val="22"/>
          <w:highlight w:val="none"/>
        </w:rPr>
        <w:t>的相应部分明确，对</w:t>
      </w:r>
      <w:r>
        <w:rPr>
          <w:rFonts w:hint="eastAsia" w:ascii="宋体" w:hAnsi="宋体" w:eastAsia="宋体" w:cs="Times New Roman"/>
          <w:color w:val="auto"/>
          <w:sz w:val="22"/>
          <w:szCs w:val="22"/>
          <w:highlight w:val="none"/>
          <w:lang w:eastAsia="zh-CN"/>
        </w:rPr>
        <w:t>招标文件</w:t>
      </w:r>
      <w:r>
        <w:rPr>
          <w:rFonts w:hint="eastAsia" w:ascii="宋体" w:hAnsi="宋体" w:eastAsia="宋体" w:cs="Times New Roman"/>
          <w:color w:val="auto"/>
          <w:sz w:val="22"/>
          <w:szCs w:val="22"/>
          <w:highlight w:val="none"/>
        </w:rPr>
        <w:t>的技术条款及其它要求应予以实质性响应，如有偏离须在偏离表中注明，否则会对供应商的投标做出不利评定。</w:t>
      </w:r>
    </w:p>
    <w:p w14:paraId="7F1E2D94">
      <w:pPr>
        <w:keepNext w:val="0"/>
        <w:keepLines w:val="0"/>
        <w:pageBreakBefore w:val="0"/>
        <w:widowControl w:val="0"/>
        <w:numPr>
          <w:ilvl w:val="0"/>
          <w:numId w:val="1"/>
        </w:numPr>
        <w:tabs>
          <w:tab w:val="left" w:pos="525"/>
        </w:tabs>
        <w:kinsoku/>
        <w:wordWrap/>
        <w:overflowPunct/>
        <w:topLinePunct w:val="0"/>
        <w:autoSpaceDE w:val="0"/>
        <w:autoSpaceDN w:val="0"/>
        <w:bidi w:val="0"/>
        <w:adjustRightInd w:val="0"/>
        <w:snapToGrid w:val="0"/>
        <w:spacing w:line="360" w:lineRule="exact"/>
        <w:ind w:left="431" w:leftChars="0" w:hanging="431" w:firstLineChars="0"/>
        <w:textAlignment w:val="bottom"/>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供应商需针对本项目所提供的产品的技术性能、质量水平、具体实施方案、售后服务、培训计划等做详尽的描述。</w:t>
      </w:r>
    </w:p>
    <w:p w14:paraId="32764868">
      <w:pPr>
        <w:keepNext w:val="0"/>
        <w:keepLines w:val="0"/>
        <w:pageBreakBefore w:val="0"/>
        <w:widowControl/>
        <w:numPr>
          <w:ilvl w:val="0"/>
          <w:numId w:val="2"/>
        </w:numPr>
        <w:kinsoku/>
        <w:wordWrap/>
        <w:overflowPunct/>
        <w:topLinePunct w:val="0"/>
        <w:bidi w:val="0"/>
        <w:spacing w:line="360" w:lineRule="exact"/>
        <w:rPr>
          <w:rFonts w:ascii="宋体" w:hAnsi="宋体"/>
          <w:b/>
          <w:color w:val="auto"/>
          <w:sz w:val="22"/>
          <w:szCs w:val="22"/>
          <w:highlight w:val="none"/>
        </w:rPr>
      </w:pPr>
      <w:r>
        <w:rPr>
          <w:rFonts w:hint="eastAsia" w:ascii="宋体" w:hAnsi="宋体"/>
          <w:b/>
          <w:color w:val="auto"/>
          <w:sz w:val="22"/>
          <w:szCs w:val="22"/>
          <w:highlight w:val="none"/>
        </w:rPr>
        <w:t>采购清单及要求</w:t>
      </w:r>
    </w:p>
    <w:p w14:paraId="6888077A">
      <w:pPr>
        <w:keepNext w:val="0"/>
        <w:keepLines w:val="0"/>
        <w:pageBreakBefore w:val="0"/>
        <w:numPr>
          <w:ilvl w:val="0"/>
          <w:numId w:val="0"/>
        </w:numPr>
        <w:tabs>
          <w:tab w:val="left" w:pos="525"/>
        </w:tabs>
        <w:kinsoku/>
        <w:wordWrap/>
        <w:overflowPunct/>
        <w:topLinePunct w:val="0"/>
        <w:autoSpaceDE w:val="0"/>
        <w:autoSpaceDN w:val="0"/>
        <w:bidi w:val="0"/>
        <w:adjustRightInd w:val="0"/>
        <w:snapToGrid w:val="0"/>
        <w:spacing w:line="360" w:lineRule="exact"/>
        <w:ind w:leftChars="0"/>
        <w:textAlignment w:val="bottom"/>
        <w:rPr>
          <w:rFonts w:ascii="宋体" w:hAnsi="宋体"/>
          <w:b/>
          <w:bCs/>
          <w:color w:val="auto"/>
          <w:sz w:val="22"/>
          <w:szCs w:val="22"/>
          <w:highlight w:val="none"/>
        </w:rPr>
      </w:pPr>
      <w:r>
        <w:rPr>
          <w:rFonts w:hint="eastAsia" w:ascii="宋体" w:hAnsi="宋体"/>
          <w:b/>
          <w:bCs/>
          <w:color w:val="auto"/>
          <w:sz w:val="22"/>
          <w:szCs w:val="22"/>
          <w:highlight w:val="none"/>
          <w:lang w:val="en-US" w:eastAsia="zh-CN"/>
        </w:rPr>
        <w:t>1.采购</w:t>
      </w:r>
      <w:r>
        <w:rPr>
          <w:rFonts w:hint="eastAsia" w:ascii="宋体" w:hAnsi="宋体"/>
          <w:b/>
          <w:bCs/>
          <w:color w:val="auto"/>
          <w:sz w:val="22"/>
          <w:szCs w:val="22"/>
          <w:highlight w:val="none"/>
        </w:rPr>
        <w:t>清单</w:t>
      </w:r>
    </w:p>
    <w:tbl>
      <w:tblPr>
        <w:tblStyle w:val="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15"/>
        <w:gridCol w:w="4659"/>
        <w:gridCol w:w="3274"/>
      </w:tblGrid>
      <w:tr w14:paraId="304A0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972" w:type="pct"/>
            <w:tcBorders>
              <w:top w:val="single" w:color="000000" w:sz="4" w:space="0"/>
              <w:left w:val="single" w:color="000000" w:sz="4" w:space="0"/>
              <w:bottom w:val="single" w:color="000000" w:sz="4" w:space="0"/>
              <w:right w:val="single" w:color="000000" w:sz="4" w:space="0"/>
            </w:tcBorders>
            <w:noWrap w:val="0"/>
            <w:vAlign w:val="center"/>
          </w:tcPr>
          <w:p w14:paraId="750983FE">
            <w:pPr>
              <w:keepNext w:val="0"/>
              <w:keepLines w:val="0"/>
              <w:pageBreakBefore w:val="0"/>
              <w:widowControl/>
              <w:suppressLineNumbers w:val="0"/>
              <w:kinsoku/>
              <w:wordWrap/>
              <w:overflowPunct/>
              <w:topLinePunct w:val="0"/>
              <w:bidi w:val="0"/>
              <w:spacing w:line="360" w:lineRule="exact"/>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365" w:type="pct"/>
            <w:tcBorders>
              <w:top w:val="single" w:color="000000" w:sz="4" w:space="0"/>
              <w:left w:val="single" w:color="000000" w:sz="4" w:space="0"/>
              <w:bottom w:val="single" w:color="000000" w:sz="4" w:space="0"/>
              <w:right w:val="single" w:color="000000" w:sz="4" w:space="0"/>
            </w:tcBorders>
            <w:noWrap w:val="0"/>
            <w:vAlign w:val="center"/>
          </w:tcPr>
          <w:p w14:paraId="3372AEBA">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1662" w:type="pct"/>
            <w:tcBorders>
              <w:top w:val="single" w:color="000000" w:sz="4" w:space="0"/>
              <w:left w:val="single" w:color="000000" w:sz="4" w:space="0"/>
              <w:bottom w:val="single" w:color="000000" w:sz="4" w:space="0"/>
              <w:right w:val="single" w:color="000000" w:sz="4" w:space="0"/>
            </w:tcBorders>
            <w:noWrap w:val="0"/>
            <w:vAlign w:val="center"/>
          </w:tcPr>
          <w:p w14:paraId="286FDF93">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数量</w:t>
            </w:r>
          </w:p>
        </w:tc>
      </w:tr>
      <w:tr w14:paraId="285F1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972" w:type="pct"/>
            <w:tcBorders>
              <w:top w:val="single" w:color="000000" w:sz="4" w:space="0"/>
              <w:left w:val="single" w:color="000000" w:sz="4" w:space="0"/>
              <w:bottom w:val="single" w:color="000000" w:sz="4" w:space="0"/>
              <w:right w:val="single" w:color="000000" w:sz="4" w:space="0"/>
            </w:tcBorders>
            <w:noWrap w:val="0"/>
            <w:vAlign w:val="center"/>
          </w:tcPr>
          <w:p w14:paraId="4FEBC4D0">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2365" w:type="pct"/>
            <w:tcBorders>
              <w:top w:val="single" w:color="000000" w:sz="4" w:space="0"/>
              <w:left w:val="single" w:color="000000" w:sz="4" w:space="0"/>
              <w:bottom w:val="single" w:color="000000" w:sz="4" w:space="0"/>
              <w:right w:val="single" w:color="000000" w:sz="4" w:space="0"/>
            </w:tcBorders>
            <w:noWrap w:val="0"/>
            <w:vAlign w:val="center"/>
          </w:tcPr>
          <w:p w14:paraId="6796E9EE">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olor w:val="auto"/>
                <w:szCs w:val="21"/>
                <w:highlight w:val="none"/>
              </w:rPr>
              <w:t>高灵敏度SF6实时色谱定量分析仪</w:t>
            </w:r>
          </w:p>
        </w:tc>
        <w:tc>
          <w:tcPr>
            <w:tcW w:w="1662" w:type="pct"/>
            <w:tcBorders>
              <w:top w:val="single" w:color="000000" w:sz="4" w:space="0"/>
              <w:left w:val="single" w:color="000000" w:sz="4" w:space="0"/>
              <w:bottom w:val="single" w:color="000000" w:sz="4" w:space="0"/>
              <w:right w:val="single" w:color="000000" w:sz="4" w:space="0"/>
            </w:tcBorders>
            <w:noWrap w:val="0"/>
            <w:vAlign w:val="center"/>
          </w:tcPr>
          <w:p w14:paraId="73097F8C">
            <w:pPr>
              <w:keepNext w:val="0"/>
              <w:keepLines w:val="0"/>
              <w:pageBreakBefore w:val="0"/>
              <w:widowControl/>
              <w:suppressLineNumbers w:val="0"/>
              <w:kinsoku/>
              <w:wordWrap/>
              <w:overflowPunct/>
              <w:topLinePunct w:val="0"/>
              <w:bidi w:val="0"/>
              <w:spacing w:line="36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台</w:t>
            </w:r>
          </w:p>
        </w:tc>
      </w:tr>
    </w:tbl>
    <w:p w14:paraId="1BE7D382">
      <w:pPr>
        <w:keepNext w:val="0"/>
        <w:keepLines w:val="0"/>
        <w:pageBreakBefore w:val="0"/>
        <w:widowControl w:val="0"/>
        <w:numPr>
          <w:ilvl w:val="0"/>
          <w:numId w:val="0"/>
        </w:numPr>
        <w:tabs>
          <w:tab w:val="left" w:pos="525"/>
        </w:tabs>
        <w:kinsoku/>
        <w:wordWrap/>
        <w:overflowPunct/>
        <w:topLinePunct w:val="0"/>
        <w:autoSpaceDE w:val="0"/>
        <w:autoSpaceDN w:val="0"/>
        <w:bidi w:val="0"/>
        <w:adjustRightInd w:val="0"/>
        <w:snapToGrid w:val="0"/>
        <w:spacing w:line="360" w:lineRule="exact"/>
        <w:jc w:val="both"/>
        <w:textAlignment w:val="bottom"/>
        <w:rPr>
          <w:rFonts w:hint="eastAsia" w:ascii="宋体" w:hAnsi="宋体" w:cs="宋体"/>
          <w:b/>
          <w:bCs/>
          <w:color w:val="auto"/>
          <w:sz w:val="22"/>
          <w:szCs w:val="22"/>
          <w:highlight w:val="none"/>
          <w:vertAlign w:val="baseline"/>
          <w:lang w:val="en-US" w:eastAsia="zh-CN"/>
        </w:rPr>
      </w:pPr>
      <w:r>
        <w:rPr>
          <w:rFonts w:hint="eastAsia" w:ascii="宋体" w:hAnsi="宋体" w:cs="宋体"/>
          <w:b/>
          <w:bCs/>
          <w:color w:val="auto"/>
          <w:sz w:val="22"/>
          <w:szCs w:val="22"/>
          <w:highlight w:val="none"/>
          <w:vertAlign w:val="baseline"/>
          <w:lang w:val="en-US" w:eastAsia="zh-CN"/>
        </w:rPr>
        <w:t>2.采购内容及具体技术要求：</w:t>
      </w:r>
    </w:p>
    <w:tbl>
      <w:tblPr>
        <w:tblStyle w:val="7"/>
        <w:tblW w:w="9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300"/>
        <w:gridCol w:w="7845"/>
      </w:tblGrid>
      <w:tr w14:paraId="699F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top"/>
          </w:tcPr>
          <w:p w14:paraId="16456E59">
            <w:pPr>
              <w:keepNext w:val="0"/>
              <w:keepLines w:val="0"/>
              <w:pageBreakBefore w:val="0"/>
              <w:widowControl w:val="0"/>
              <w:numPr>
                <w:ilvl w:val="0"/>
                <w:numId w:val="0"/>
              </w:numPr>
              <w:tabs>
                <w:tab w:val="left" w:pos="525"/>
              </w:tabs>
              <w:kinsoku/>
              <w:wordWrap/>
              <w:overflowPunct/>
              <w:topLinePunct w:val="0"/>
              <w:autoSpaceDE w:val="0"/>
              <w:autoSpaceDN w:val="0"/>
              <w:bidi w:val="0"/>
              <w:adjustRightInd w:val="0"/>
              <w:snapToGrid w:val="0"/>
              <w:spacing w:line="360" w:lineRule="exact"/>
              <w:jc w:val="center"/>
              <w:textAlignment w:val="bottom"/>
              <w:rPr>
                <w:rFonts w:hint="default" w:ascii="宋体" w:hAnsi="宋体" w:eastAsia="宋体" w:cs="宋体"/>
                <w:b/>
                <w:bCs/>
                <w:color w:val="auto"/>
                <w:sz w:val="22"/>
                <w:szCs w:val="22"/>
                <w:highlight w:val="none"/>
                <w:vertAlign w:val="baseline"/>
                <w:lang w:val="en-US" w:eastAsia="zh-CN"/>
              </w:rPr>
            </w:pPr>
            <w:r>
              <w:rPr>
                <w:rFonts w:hint="eastAsia" w:ascii="宋体" w:hAnsi="宋体" w:cs="宋体"/>
                <w:b/>
                <w:bCs/>
                <w:color w:val="auto"/>
                <w:sz w:val="22"/>
                <w:szCs w:val="22"/>
                <w:highlight w:val="none"/>
                <w:vertAlign w:val="baseline"/>
                <w:lang w:val="en-US" w:eastAsia="zh-CN"/>
              </w:rPr>
              <w:t>序号</w:t>
            </w:r>
          </w:p>
        </w:tc>
        <w:tc>
          <w:tcPr>
            <w:tcW w:w="1300" w:type="dxa"/>
            <w:noWrap w:val="0"/>
            <w:vAlign w:val="top"/>
          </w:tcPr>
          <w:p w14:paraId="0D794368">
            <w:pPr>
              <w:keepNext w:val="0"/>
              <w:keepLines w:val="0"/>
              <w:pageBreakBefore w:val="0"/>
              <w:widowControl w:val="0"/>
              <w:numPr>
                <w:ilvl w:val="0"/>
                <w:numId w:val="0"/>
              </w:numPr>
              <w:tabs>
                <w:tab w:val="left" w:pos="525"/>
              </w:tabs>
              <w:kinsoku/>
              <w:wordWrap/>
              <w:overflowPunct/>
              <w:topLinePunct w:val="0"/>
              <w:autoSpaceDE w:val="0"/>
              <w:autoSpaceDN w:val="0"/>
              <w:bidi w:val="0"/>
              <w:adjustRightInd w:val="0"/>
              <w:snapToGrid w:val="0"/>
              <w:spacing w:line="360" w:lineRule="exact"/>
              <w:jc w:val="center"/>
              <w:textAlignment w:val="bottom"/>
              <w:rPr>
                <w:rFonts w:hint="default" w:ascii="宋体" w:hAnsi="宋体" w:eastAsia="宋体" w:cs="宋体"/>
                <w:b/>
                <w:bCs/>
                <w:color w:val="auto"/>
                <w:sz w:val="22"/>
                <w:szCs w:val="22"/>
                <w:highlight w:val="none"/>
                <w:vertAlign w:val="baseline"/>
                <w:lang w:val="en-US" w:eastAsia="zh-CN"/>
              </w:rPr>
            </w:pPr>
            <w:r>
              <w:rPr>
                <w:rFonts w:hint="eastAsia" w:ascii="宋体" w:hAnsi="宋体" w:cs="宋体"/>
                <w:b/>
                <w:bCs/>
                <w:color w:val="auto"/>
                <w:sz w:val="22"/>
                <w:szCs w:val="22"/>
                <w:highlight w:val="none"/>
                <w:vertAlign w:val="baseline"/>
                <w:lang w:val="en-US" w:eastAsia="zh-CN"/>
              </w:rPr>
              <w:t>产品名称</w:t>
            </w:r>
          </w:p>
        </w:tc>
        <w:tc>
          <w:tcPr>
            <w:tcW w:w="7845" w:type="dxa"/>
            <w:noWrap w:val="0"/>
            <w:vAlign w:val="top"/>
          </w:tcPr>
          <w:p w14:paraId="37CBE973">
            <w:pPr>
              <w:keepNext w:val="0"/>
              <w:keepLines w:val="0"/>
              <w:pageBreakBefore w:val="0"/>
              <w:widowControl w:val="0"/>
              <w:numPr>
                <w:ilvl w:val="0"/>
                <w:numId w:val="0"/>
              </w:numPr>
              <w:tabs>
                <w:tab w:val="left" w:pos="525"/>
              </w:tabs>
              <w:kinsoku/>
              <w:wordWrap/>
              <w:overflowPunct/>
              <w:topLinePunct w:val="0"/>
              <w:autoSpaceDE w:val="0"/>
              <w:autoSpaceDN w:val="0"/>
              <w:bidi w:val="0"/>
              <w:adjustRightInd w:val="0"/>
              <w:snapToGrid w:val="0"/>
              <w:spacing w:line="360" w:lineRule="exact"/>
              <w:jc w:val="center"/>
              <w:textAlignment w:val="bottom"/>
              <w:rPr>
                <w:rFonts w:hint="default" w:ascii="宋体" w:hAnsi="宋体" w:eastAsia="宋体" w:cs="宋体"/>
                <w:b/>
                <w:bCs/>
                <w:color w:val="auto"/>
                <w:sz w:val="22"/>
                <w:szCs w:val="22"/>
                <w:highlight w:val="none"/>
                <w:vertAlign w:val="baseline"/>
                <w:lang w:val="en-US" w:eastAsia="zh-CN"/>
              </w:rPr>
            </w:pPr>
            <w:r>
              <w:rPr>
                <w:rFonts w:hint="eastAsia" w:ascii="宋体" w:hAnsi="宋体" w:cs="宋体"/>
                <w:b/>
                <w:bCs/>
                <w:color w:val="auto"/>
                <w:sz w:val="22"/>
                <w:szCs w:val="22"/>
                <w:highlight w:val="none"/>
                <w:vertAlign w:val="baseline"/>
                <w:lang w:val="en-US" w:eastAsia="zh-CN"/>
              </w:rPr>
              <w:t>技术参数</w:t>
            </w:r>
          </w:p>
        </w:tc>
      </w:tr>
      <w:tr w14:paraId="5650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6C5DCFBB">
            <w:pPr>
              <w:keepNext w:val="0"/>
              <w:keepLines w:val="0"/>
              <w:pageBreakBefore w:val="0"/>
              <w:widowControl w:val="0"/>
              <w:numPr>
                <w:ilvl w:val="0"/>
                <w:numId w:val="0"/>
              </w:numPr>
              <w:tabs>
                <w:tab w:val="left" w:pos="525"/>
              </w:tabs>
              <w:kinsoku/>
              <w:wordWrap/>
              <w:overflowPunct/>
              <w:topLinePunct w:val="0"/>
              <w:autoSpaceDE w:val="0"/>
              <w:autoSpaceDN w:val="0"/>
              <w:bidi w:val="0"/>
              <w:adjustRightInd w:val="0"/>
              <w:snapToGrid w:val="0"/>
              <w:spacing w:line="360" w:lineRule="exact"/>
              <w:ind w:left="0" w:leftChars="0" w:firstLine="0" w:firstLineChars="0"/>
              <w:jc w:val="center"/>
              <w:textAlignment w:val="bottom"/>
              <w:rPr>
                <w:rFonts w:hint="eastAsia" w:ascii="宋体" w:hAnsi="宋体" w:eastAsia="宋体" w:cs="宋体"/>
                <w:b/>
                <w:bCs/>
                <w:color w:val="auto"/>
                <w:kern w:val="2"/>
                <w:sz w:val="22"/>
                <w:szCs w:val="22"/>
                <w:highlight w:val="none"/>
                <w:vertAlign w:val="baseline"/>
                <w:lang w:val="en-US" w:eastAsia="zh-CN" w:bidi="ar-SA"/>
              </w:rPr>
            </w:pPr>
            <w:r>
              <w:rPr>
                <w:rFonts w:hint="eastAsia" w:ascii="宋体" w:hAnsi="宋体" w:cs="宋体"/>
                <w:b/>
                <w:bCs/>
                <w:color w:val="auto"/>
                <w:sz w:val="22"/>
                <w:szCs w:val="22"/>
                <w:highlight w:val="none"/>
                <w:vertAlign w:val="baseline"/>
                <w:lang w:val="en-US" w:eastAsia="zh-CN"/>
              </w:rPr>
              <w:t>1</w:t>
            </w:r>
          </w:p>
        </w:tc>
        <w:tc>
          <w:tcPr>
            <w:tcW w:w="1300" w:type="dxa"/>
            <w:noWrap w:val="0"/>
            <w:vAlign w:val="center"/>
          </w:tcPr>
          <w:p w14:paraId="656397BD">
            <w:pPr>
              <w:keepNext w:val="0"/>
              <w:keepLines w:val="0"/>
              <w:pageBreakBefore w:val="0"/>
              <w:widowControl/>
              <w:suppressLineNumbers w:val="0"/>
              <w:kinsoku/>
              <w:wordWrap/>
              <w:overflowPunct/>
              <w:topLinePunct w:val="0"/>
              <w:bidi w:val="0"/>
              <w:spacing w:line="36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olor w:val="auto"/>
                <w:szCs w:val="21"/>
                <w:highlight w:val="none"/>
              </w:rPr>
              <w:t>高灵敏度SF6实时色谱定量分析仪</w:t>
            </w:r>
          </w:p>
        </w:tc>
        <w:tc>
          <w:tcPr>
            <w:tcW w:w="7845" w:type="dxa"/>
            <w:noWrap w:val="0"/>
            <w:vAlign w:val="top"/>
          </w:tcPr>
          <w:p w14:paraId="31DABE08">
            <w:pPr>
              <w:keepNext w:val="0"/>
              <w:keepLines w:val="0"/>
              <w:pageBreakBefore w:val="0"/>
              <w:widowControl/>
              <w:suppressLineNumbers w:val="0"/>
              <w:kinsoku/>
              <w:wordWrap/>
              <w:overflowPunct/>
              <w:topLinePunct w:val="0"/>
              <w:bidi w:val="0"/>
              <w:spacing w:line="36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1、技术指标要求</w:t>
            </w:r>
          </w:p>
          <w:p w14:paraId="3DA14E20">
            <w:pPr>
              <w:keepNext w:val="0"/>
              <w:keepLines w:val="0"/>
              <w:pageBreakBefore w:val="0"/>
              <w:widowControl/>
              <w:numPr>
                <w:ilvl w:val="0"/>
                <w:numId w:val="3"/>
              </w:numPr>
              <w:suppressLineNumbers w:val="0"/>
              <w:kinsoku/>
              <w:wordWrap/>
              <w:overflowPunct/>
              <w:topLinePunct w:val="0"/>
              <w:bidi w:val="0"/>
              <w:spacing w:line="360" w:lineRule="exact"/>
              <w:ind w:left="0" w:leftChars="0" w:firstLine="40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★ECD电子捕获原理; 设备必须具有国家环保部出具的豁免证明红头文件（环保部官网可查）。</w:t>
            </w:r>
          </w:p>
          <w:p w14:paraId="0A91A154">
            <w:pPr>
              <w:keepNext w:val="0"/>
              <w:keepLines w:val="0"/>
              <w:pageBreakBefore w:val="0"/>
              <w:widowControl/>
              <w:numPr>
                <w:ilvl w:val="0"/>
                <w:numId w:val="3"/>
              </w:numPr>
              <w:suppressLineNumbers w:val="0"/>
              <w:kinsoku/>
              <w:wordWrap/>
              <w:overflowPunct/>
              <w:topLinePunct w:val="0"/>
              <w:bidi w:val="0"/>
              <w:spacing w:line="360" w:lineRule="exact"/>
              <w:ind w:left="0" w:leftChars="0" w:firstLine="40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★灵敏度（最小检测限）：0.01ppm或1 x 10-8mL/s；</w:t>
            </w:r>
          </w:p>
          <w:p w14:paraId="31AE5D34">
            <w:pPr>
              <w:keepNext w:val="0"/>
              <w:keepLines w:val="0"/>
              <w:pageBreakBefore w:val="0"/>
              <w:widowControl/>
              <w:numPr>
                <w:ilvl w:val="0"/>
                <w:numId w:val="0"/>
              </w:numPr>
              <w:suppressLineNumbers w:val="0"/>
              <w:kinsoku/>
              <w:wordWrap/>
              <w:overflowPunct/>
              <w:topLinePunct w:val="0"/>
              <w:bidi w:val="0"/>
              <w:spacing w:line="360" w:lineRule="exact"/>
              <w:ind w:firstLine="3300" w:firstLineChars="150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0.1ppm或11 x 10-7mL/s；</w:t>
            </w:r>
          </w:p>
          <w:p w14:paraId="0D0FDB1C">
            <w:pPr>
              <w:keepNext w:val="0"/>
              <w:keepLines w:val="0"/>
              <w:pageBreakBefore w:val="0"/>
              <w:widowControl/>
              <w:numPr>
                <w:ilvl w:val="0"/>
                <w:numId w:val="3"/>
              </w:numPr>
              <w:suppressLineNumbers w:val="0"/>
              <w:kinsoku/>
              <w:wordWrap/>
              <w:overflowPunct/>
              <w:topLinePunct w:val="0"/>
              <w:bidi w:val="0"/>
              <w:spacing w:line="360" w:lineRule="exact"/>
              <w:ind w:left="0" w:leftChars="0" w:firstLine="40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测量范围：H烧结器：0.01-18 ppm；</w:t>
            </w:r>
          </w:p>
          <w:p w14:paraId="6A7C4EB5">
            <w:pPr>
              <w:keepNext w:val="0"/>
              <w:keepLines w:val="0"/>
              <w:pageBreakBefore w:val="0"/>
              <w:widowControl/>
              <w:numPr>
                <w:ilvl w:val="0"/>
                <w:numId w:val="0"/>
              </w:numPr>
              <w:suppressLineNumbers w:val="0"/>
              <w:kinsoku/>
              <w:wordWrap/>
              <w:overflowPunct/>
              <w:topLinePunct w:val="0"/>
              <w:bidi w:val="0"/>
              <w:spacing w:line="360" w:lineRule="exact"/>
              <w:ind w:firstLine="660" w:firstLineChars="30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测量范围：M烧结器：0.1-180 ppm；</w:t>
            </w:r>
          </w:p>
          <w:p w14:paraId="30143ED1">
            <w:pPr>
              <w:keepNext w:val="0"/>
              <w:keepLines w:val="0"/>
              <w:pageBreakBefore w:val="0"/>
              <w:widowControl/>
              <w:numPr>
                <w:ilvl w:val="0"/>
                <w:numId w:val="3"/>
              </w:numPr>
              <w:suppressLineNumbers w:val="0"/>
              <w:kinsoku/>
              <w:wordWrap/>
              <w:overflowPunct/>
              <w:topLinePunct w:val="0"/>
              <w:bidi w:val="0"/>
              <w:spacing w:line="360" w:lineRule="exact"/>
              <w:ind w:left="0" w:leftChars="0" w:firstLine="40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温度补偿：传感器根据实时温度进行补偿，开机显示温度；</w:t>
            </w:r>
          </w:p>
          <w:p w14:paraId="79D18F98">
            <w:pPr>
              <w:keepNext w:val="0"/>
              <w:keepLines w:val="0"/>
              <w:pageBreakBefore w:val="0"/>
              <w:widowControl/>
              <w:numPr>
                <w:ilvl w:val="0"/>
                <w:numId w:val="3"/>
              </w:numPr>
              <w:suppressLineNumbers w:val="0"/>
              <w:kinsoku/>
              <w:wordWrap/>
              <w:overflowPunct/>
              <w:topLinePunct w:val="0"/>
              <w:bidi w:val="0"/>
              <w:spacing w:line="360" w:lineRule="exact"/>
              <w:ind w:left="0" w:leftChars="0" w:firstLine="40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取样泵、取样速度：先进的微型取样设备，设备以60 mL/s的速率进行取样，在ppm和mL/s之前可以进行直接转换；</w:t>
            </w:r>
          </w:p>
          <w:p w14:paraId="4307EE30">
            <w:pPr>
              <w:keepNext w:val="0"/>
              <w:keepLines w:val="0"/>
              <w:pageBreakBefore w:val="0"/>
              <w:widowControl/>
              <w:numPr>
                <w:ilvl w:val="0"/>
                <w:numId w:val="3"/>
              </w:numPr>
              <w:suppressLineNumbers w:val="0"/>
              <w:kinsoku/>
              <w:wordWrap/>
              <w:overflowPunct/>
              <w:topLinePunct w:val="0"/>
              <w:bidi w:val="0"/>
              <w:spacing w:line="360" w:lineRule="exact"/>
              <w:ind w:left="0" w:leftChars="0" w:firstLine="40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★气源：内置氩气瓶，压力100bar，可连续使用时间≥18小时， </w:t>
            </w:r>
          </w:p>
          <w:p w14:paraId="25F0517D">
            <w:pPr>
              <w:keepNext w:val="0"/>
              <w:keepLines w:val="0"/>
              <w:pageBreakBefore w:val="0"/>
              <w:widowControl/>
              <w:numPr>
                <w:ilvl w:val="0"/>
                <w:numId w:val="3"/>
              </w:numPr>
              <w:suppressLineNumbers w:val="0"/>
              <w:kinsoku/>
              <w:wordWrap/>
              <w:overflowPunct/>
              <w:topLinePunct w:val="0"/>
              <w:bidi w:val="0"/>
              <w:spacing w:line="360" w:lineRule="exact"/>
              <w:ind w:left="0" w:leftChars="0" w:firstLine="40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传感器寿命：在常规且按要求使用前提下，传感器寿命15年以上，使用期间不需要定时保养；</w:t>
            </w:r>
          </w:p>
          <w:p w14:paraId="62D1EDC4">
            <w:pPr>
              <w:keepNext w:val="0"/>
              <w:keepLines w:val="0"/>
              <w:pageBreakBefore w:val="0"/>
              <w:widowControl/>
              <w:numPr>
                <w:ilvl w:val="0"/>
                <w:numId w:val="3"/>
              </w:numPr>
              <w:suppressLineNumbers w:val="0"/>
              <w:kinsoku/>
              <w:wordWrap/>
              <w:overflowPunct/>
              <w:topLinePunct w:val="0"/>
              <w:bidi w:val="0"/>
              <w:spacing w:line="360" w:lineRule="exact"/>
              <w:ind w:left="0" w:leftChars="0" w:firstLine="40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电池：内置充电电池，连续工作时间≥8小时，单个电池充放电次数≥500次，除原电池外，再配备一块电池作为备用；</w:t>
            </w:r>
          </w:p>
          <w:p w14:paraId="23FEFF4A">
            <w:pPr>
              <w:keepNext w:val="0"/>
              <w:keepLines w:val="0"/>
              <w:pageBreakBefore w:val="0"/>
              <w:widowControl/>
              <w:numPr>
                <w:ilvl w:val="0"/>
                <w:numId w:val="3"/>
              </w:numPr>
              <w:suppressLineNumbers w:val="0"/>
              <w:kinsoku/>
              <w:wordWrap/>
              <w:overflowPunct/>
              <w:topLinePunct w:val="0"/>
              <w:bidi w:val="0"/>
              <w:spacing w:line="360" w:lineRule="exact"/>
              <w:ind w:left="0" w:leftChars="0" w:firstLine="40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显示：主控屏以数字形式实时显示泄露量，手枪单元上的模拟量；   </w:t>
            </w:r>
          </w:p>
          <w:p w14:paraId="600A3357">
            <w:pPr>
              <w:keepNext w:val="0"/>
              <w:keepLines w:val="0"/>
              <w:pageBreakBefore w:val="0"/>
              <w:widowControl/>
              <w:numPr>
                <w:ilvl w:val="0"/>
                <w:numId w:val="3"/>
              </w:numPr>
              <w:suppressLineNumbers w:val="0"/>
              <w:kinsoku/>
              <w:wordWrap/>
              <w:overflowPunct/>
              <w:topLinePunct w:val="0"/>
              <w:bidi w:val="0"/>
              <w:spacing w:line="360" w:lineRule="exact"/>
              <w:ind w:left="0" w:leftChars="0" w:firstLine="40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现场定量分析实用性：必须满足现场最小10ppb的定量分析且响应时间足够快   （T80响应时间≤1S）；且在整个仪器的量程范围内整体线性度满足国家要求  (准确度≤10%)；</w:t>
            </w:r>
          </w:p>
          <w:p w14:paraId="30225C00">
            <w:pPr>
              <w:keepNext w:val="0"/>
              <w:keepLines w:val="0"/>
              <w:pageBreakBefore w:val="0"/>
              <w:widowControl/>
              <w:numPr>
                <w:ilvl w:val="0"/>
                <w:numId w:val="3"/>
              </w:numPr>
              <w:suppressLineNumbers w:val="0"/>
              <w:kinsoku/>
              <w:wordWrap/>
              <w:overflowPunct/>
              <w:topLinePunct w:val="0"/>
              <w:bidi w:val="0"/>
              <w:spacing w:line="360" w:lineRule="exact"/>
              <w:ind w:left="0" w:leftChars="0" w:firstLine="40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成套设备需有良好的抗干扰、抗过电压能力，在变电站现场电磁环境下不应出现元件损坏的情况，技术方案应有相应措施；</w:t>
            </w:r>
          </w:p>
          <w:p w14:paraId="582A228C">
            <w:pPr>
              <w:keepNext w:val="0"/>
              <w:keepLines w:val="0"/>
              <w:pageBreakBefore w:val="0"/>
              <w:widowControl/>
              <w:numPr>
                <w:ilvl w:val="0"/>
                <w:numId w:val="3"/>
              </w:numPr>
              <w:suppressLineNumbers w:val="0"/>
              <w:kinsoku/>
              <w:wordWrap/>
              <w:overflowPunct/>
              <w:topLinePunct w:val="0"/>
              <w:bidi w:val="0"/>
              <w:spacing w:line="360" w:lineRule="exact"/>
              <w:ind w:left="0" w:leftChars="0" w:firstLine="40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安装（维修）过程需遵守公司相关管理规定，严格按照单位安全/环保制度执行，采取措施加强管理，提示和警示安全事项。</w:t>
            </w:r>
          </w:p>
          <w:p w14:paraId="298D86C8">
            <w:pPr>
              <w:keepNext w:val="0"/>
              <w:keepLines w:val="0"/>
              <w:pageBreakBefore w:val="0"/>
              <w:widowControl/>
              <w:suppressLineNumbers w:val="0"/>
              <w:kinsoku/>
              <w:wordWrap/>
              <w:overflowPunct/>
              <w:topLinePunct w:val="0"/>
              <w:bidi w:val="0"/>
              <w:spacing w:line="36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2、技术资料</w:t>
            </w:r>
          </w:p>
          <w:p w14:paraId="5FCCA188">
            <w:pPr>
              <w:keepNext w:val="0"/>
              <w:keepLines w:val="0"/>
              <w:pageBreakBefore w:val="0"/>
              <w:widowControl/>
              <w:numPr>
                <w:ilvl w:val="0"/>
                <w:numId w:val="4"/>
              </w:numPr>
              <w:suppressLineNumbers w:val="0"/>
              <w:kinsoku/>
              <w:wordWrap/>
              <w:overflowPunct/>
              <w:topLinePunct w:val="0"/>
              <w:bidi w:val="0"/>
              <w:spacing w:line="360" w:lineRule="exact"/>
              <w:ind w:left="0" w:leftChars="0" w:firstLine="40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提供设备说明书，装箱单、产品合格证明。</w:t>
            </w:r>
          </w:p>
          <w:p w14:paraId="63612EAD">
            <w:pPr>
              <w:keepNext w:val="0"/>
              <w:keepLines w:val="0"/>
              <w:pageBreakBefore w:val="0"/>
              <w:widowControl/>
              <w:numPr>
                <w:ilvl w:val="0"/>
                <w:numId w:val="4"/>
              </w:numPr>
              <w:suppressLineNumbers w:val="0"/>
              <w:kinsoku/>
              <w:wordWrap/>
              <w:overflowPunct/>
              <w:topLinePunct w:val="0"/>
              <w:bidi w:val="0"/>
              <w:spacing w:line="360" w:lineRule="exact"/>
              <w:ind w:left="0" w:leftChars="0" w:firstLine="40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出具CNAS认证的第三方计量报告原件（交货时提供）。</w:t>
            </w:r>
          </w:p>
          <w:p w14:paraId="32E31B8F">
            <w:pPr>
              <w:keepNext w:val="0"/>
              <w:keepLines w:val="0"/>
              <w:pageBreakBefore w:val="0"/>
              <w:widowControl/>
              <w:numPr>
                <w:ilvl w:val="0"/>
                <w:numId w:val="4"/>
              </w:numPr>
              <w:suppressLineNumbers w:val="0"/>
              <w:kinsoku/>
              <w:wordWrap/>
              <w:overflowPunct/>
              <w:topLinePunct w:val="0"/>
              <w:bidi w:val="0"/>
              <w:spacing w:line="360" w:lineRule="exact"/>
              <w:ind w:left="0" w:leftChars="0" w:firstLine="40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仪器放射性带豁免证书（交货时提供）。</w:t>
            </w:r>
          </w:p>
          <w:p w14:paraId="565906D0">
            <w:pPr>
              <w:keepNext w:val="0"/>
              <w:keepLines w:val="0"/>
              <w:pageBreakBefore w:val="0"/>
              <w:widowControl/>
              <w:numPr>
                <w:ilvl w:val="0"/>
                <w:numId w:val="4"/>
              </w:numPr>
              <w:suppressLineNumbers w:val="0"/>
              <w:kinsoku/>
              <w:wordWrap/>
              <w:overflowPunct/>
              <w:topLinePunct w:val="0"/>
              <w:bidi w:val="0"/>
              <w:spacing w:line="360" w:lineRule="exact"/>
              <w:ind w:left="0" w:leftChars="0" w:firstLine="400" w:firstLine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出厂试验报告（交货时提供）。</w:t>
            </w:r>
          </w:p>
          <w:p w14:paraId="0913E5A5">
            <w:pPr>
              <w:keepNext w:val="0"/>
              <w:keepLines w:val="0"/>
              <w:pageBreakBefore w:val="0"/>
              <w:widowControl/>
              <w:suppressLineNumbers w:val="0"/>
              <w:kinsoku/>
              <w:wordWrap/>
              <w:overflowPunct/>
              <w:topLinePunct w:val="0"/>
              <w:bidi w:val="0"/>
              <w:spacing w:line="36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3、货物需求列表</w:t>
            </w:r>
          </w:p>
          <w:tbl>
            <w:tblPr>
              <w:tblStyle w:val="7"/>
              <w:tblW w:w="0" w:type="auto"/>
              <w:tblInd w:w="4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5"/>
              <w:gridCol w:w="4779"/>
              <w:gridCol w:w="795"/>
              <w:gridCol w:w="796"/>
            </w:tblGrid>
            <w:tr w14:paraId="5EC1B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851" w:type="dxa"/>
                  <w:noWrap w:val="0"/>
                  <w:vAlign w:val="center"/>
                </w:tcPr>
                <w:p w14:paraId="3D277493">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序号</w:t>
                  </w:r>
                </w:p>
              </w:tc>
              <w:tc>
                <w:tcPr>
                  <w:tcW w:w="5386" w:type="dxa"/>
                  <w:noWrap w:val="0"/>
                  <w:vAlign w:val="center"/>
                </w:tcPr>
                <w:p w14:paraId="170D0367">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名称</w:t>
                  </w:r>
                </w:p>
              </w:tc>
              <w:tc>
                <w:tcPr>
                  <w:tcW w:w="851" w:type="dxa"/>
                  <w:noWrap w:val="0"/>
                  <w:vAlign w:val="center"/>
                </w:tcPr>
                <w:p w14:paraId="783403E5">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单位</w:t>
                  </w:r>
                </w:p>
              </w:tc>
              <w:tc>
                <w:tcPr>
                  <w:tcW w:w="850" w:type="dxa"/>
                  <w:noWrap w:val="0"/>
                  <w:vAlign w:val="center"/>
                </w:tcPr>
                <w:p w14:paraId="4A177FC0">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数量</w:t>
                  </w:r>
                </w:p>
              </w:tc>
            </w:tr>
            <w:tr w14:paraId="7EC01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851" w:type="dxa"/>
                  <w:noWrap w:val="0"/>
                  <w:vAlign w:val="center"/>
                </w:tcPr>
                <w:p w14:paraId="7BFDB582">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5386" w:type="dxa"/>
                  <w:noWrap w:val="0"/>
                  <w:vAlign w:val="center"/>
                </w:tcPr>
                <w:p w14:paraId="62D0B4F0">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高灵敏度SF6检漏仪</w:t>
                  </w:r>
                </w:p>
              </w:tc>
              <w:tc>
                <w:tcPr>
                  <w:tcW w:w="851" w:type="dxa"/>
                  <w:noWrap w:val="0"/>
                  <w:vAlign w:val="center"/>
                </w:tcPr>
                <w:p w14:paraId="0CCD740A">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台</w:t>
                  </w:r>
                </w:p>
              </w:tc>
              <w:tc>
                <w:tcPr>
                  <w:tcW w:w="850" w:type="dxa"/>
                  <w:noWrap w:val="0"/>
                  <w:vAlign w:val="center"/>
                </w:tcPr>
                <w:p w14:paraId="292B88C2">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r>
            <w:tr w14:paraId="13D03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851" w:type="dxa"/>
                  <w:noWrap w:val="0"/>
                  <w:vAlign w:val="center"/>
                </w:tcPr>
                <w:p w14:paraId="1229A661">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5386" w:type="dxa"/>
                  <w:noWrap w:val="0"/>
                  <w:vAlign w:val="center"/>
                </w:tcPr>
                <w:p w14:paraId="2279DDF7">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氩气瓶（740 ML）</w:t>
                  </w:r>
                </w:p>
              </w:tc>
              <w:tc>
                <w:tcPr>
                  <w:tcW w:w="851" w:type="dxa"/>
                  <w:noWrap w:val="0"/>
                  <w:vAlign w:val="center"/>
                </w:tcPr>
                <w:p w14:paraId="4D817869">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瓶</w:t>
                  </w:r>
                </w:p>
              </w:tc>
              <w:tc>
                <w:tcPr>
                  <w:tcW w:w="850" w:type="dxa"/>
                  <w:noWrap w:val="0"/>
                  <w:vAlign w:val="center"/>
                </w:tcPr>
                <w:p w14:paraId="5761E6B8">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r>
            <w:tr w14:paraId="47A46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851" w:type="dxa"/>
                  <w:noWrap w:val="0"/>
                  <w:vAlign w:val="center"/>
                </w:tcPr>
                <w:p w14:paraId="463CFAAD">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5386" w:type="dxa"/>
                  <w:noWrap w:val="0"/>
                  <w:vAlign w:val="center"/>
                </w:tcPr>
                <w:p w14:paraId="21930308">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设备使用说明书</w:t>
                  </w:r>
                </w:p>
                <w:p w14:paraId="09F8D4DE">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p>
                <w:p w14:paraId="25499603">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p>
              </w:tc>
              <w:tc>
                <w:tcPr>
                  <w:tcW w:w="851" w:type="dxa"/>
                  <w:noWrap w:val="0"/>
                  <w:vAlign w:val="center"/>
                </w:tcPr>
                <w:p w14:paraId="2818AB70">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份</w:t>
                  </w:r>
                </w:p>
              </w:tc>
              <w:tc>
                <w:tcPr>
                  <w:tcW w:w="850" w:type="dxa"/>
                  <w:noWrap w:val="0"/>
                  <w:vAlign w:val="center"/>
                </w:tcPr>
                <w:p w14:paraId="1378F2A4">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r>
            <w:tr w14:paraId="0B66D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851" w:type="dxa"/>
                  <w:noWrap w:val="0"/>
                  <w:vAlign w:val="center"/>
                </w:tcPr>
                <w:p w14:paraId="2918642D">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5386" w:type="dxa"/>
                  <w:noWrap w:val="0"/>
                  <w:vAlign w:val="center"/>
                </w:tcPr>
                <w:p w14:paraId="3558F677">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装箱清单</w:t>
                  </w:r>
                </w:p>
              </w:tc>
              <w:tc>
                <w:tcPr>
                  <w:tcW w:w="851" w:type="dxa"/>
                  <w:noWrap w:val="0"/>
                  <w:vAlign w:val="center"/>
                </w:tcPr>
                <w:p w14:paraId="2EDCB2D1">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份</w:t>
                  </w:r>
                </w:p>
              </w:tc>
              <w:tc>
                <w:tcPr>
                  <w:tcW w:w="850" w:type="dxa"/>
                  <w:noWrap w:val="0"/>
                  <w:vAlign w:val="center"/>
                </w:tcPr>
                <w:p w14:paraId="757D96A4">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r>
            <w:tr w14:paraId="74BCB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851" w:type="dxa"/>
                  <w:noWrap w:val="0"/>
                  <w:vAlign w:val="center"/>
                </w:tcPr>
                <w:p w14:paraId="37BB5CF1">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w:t>
                  </w:r>
                </w:p>
              </w:tc>
              <w:tc>
                <w:tcPr>
                  <w:tcW w:w="5386" w:type="dxa"/>
                  <w:noWrap w:val="0"/>
                  <w:vAlign w:val="center"/>
                </w:tcPr>
                <w:p w14:paraId="5DF323C9">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CNAS认证的第三方计量报告原件</w:t>
                  </w:r>
                </w:p>
                <w:p w14:paraId="70A5CE3F">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p>
                <w:p w14:paraId="5B716386">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第三方计量报告</w:t>
                  </w:r>
                </w:p>
              </w:tc>
              <w:tc>
                <w:tcPr>
                  <w:tcW w:w="851" w:type="dxa"/>
                  <w:noWrap w:val="0"/>
                  <w:vAlign w:val="center"/>
                </w:tcPr>
                <w:p w14:paraId="35B0CC12">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份</w:t>
                  </w:r>
                </w:p>
              </w:tc>
              <w:tc>
                <w:tcPr>
                  <w:tcW w:w="850" w:type="dxa"/>
                  <w:noWrap w:val="0"/>
                  <w:vAlign w:val="center"/>
                </w:tcPr>
                <w:p w14:paraId="20185DAB">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r>
            <w:tr w14:paraId="4A7C6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851" w:type="dxa"/>
                  <w:noWrap w:val="0"/>
                  <w:vAlign w:val="center"/>
                </w:tcPr>
                <w:p w14:paraId="26B962EA">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w:t>
                  </w:r>
                </w:p>
              </w:tc>
              <w:tc>
                <w:tcPr>
                  <w:tcW w:w="5386" w:type="dxa"/>
                  <w:noWrap w:val="0"/>
                  <w:vAlign w:val="center"/>
                </w:tcPr>
                <w:p w14:paraId="4905B000">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国家环保部出具的豁免文件</w:t>
                  </w:r>
                </w:p>
              </w:tc>
              <w:tc>
                <w:tcPr>
                  <w:tcW w:w="851" w:type="dxa"/>
                  <w:noWrap w:val="0"/>
                  <w:vAlign w:val="center"/>
                </w:tcPr>
                <w:p w14:paraId="7EE56EA1">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份</w:t>
                  </w:r>
                </w:p>
              </w:tc>
              <w:tc>
                <w:tcPr>
                  <w:tcW w:w="850" w:type="dxa"/>
                  <w:noWrap w:val="0"/>
                  <w:vAlign w:val="center"/>
                </w:tcPr>
                <w:p w14:paraId="070F96AC">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r>
          </w:tbl>
          <w:p w14:paraId="023712F8">
            <w:pPr>
              <w:keepNext w:val="0"/>
              <w:keepLines w:val="0"/>
              <w:pageBreakBefore w:val="0"/>
              <w:widowControl/>
              <w:suppressLineNumbers w:val="0"/>
              <w:kinsoku/>
              <w:wordWrap/>
              <w:overflowPunct/>
              <w:topLinePunct w:val="0"/>
              <w:bidi w:val="0"/>
              <w:spacing w:line="360" w:lineRule="exact"/>
              <w:ind w:firstLine="220" w:firstLineChars="10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bl>
    <w:p w14:paraId="7948AA82">
      <w:pPr>
        <w:keepNext w:val="0"/>
        <w:keepLines w:val="0"/>
        <w:pageBreakBefore w:val="0"/>
        <w:kinsoku/>
        <w:wordWrap/>
        <w:overflowPunct/>
        <w:topLinePunct w:val="0"/>
        <w:bidi w:val="0"/>
        <w:spacing w:line="360" w:lineRule="exact"/>
        <w:jc w:val="left"/>
        <w:rPr>
          <w:rFonts w:hint="eastAsia" w:ascii="宋体" w:hAnsi="宋体" w:eastAsia="宋体" w:cs="宋体"/>
          <w:b/>
          <w:color w:val="auto"/>
          <w:sz w:val="22"/>
          <w:szCs w:val="22"/>
          <w:highlight w:val="none"/>
        </w:rPr>
      </w:pPr>
      <w:r>
        <w:rPr>
          <w:rStyle w:val="10"/>
          <w:rFonts w:hint="eastAsia" w:ascii="宋体" w:hAnsi="宋体" w:eastAsia="宋体" w:cs="宋体"/>
          <w:b/>
          <w:bCs/>
          <w:color w:val="auto"/>
          <w:sz w:val="22"/>
          <w:szCs w:val="22"/>
          <w:highlight w:val="none"/>
        </w:rPr>
        <w:t>三、</w:t>
      </w:r>
      <w:r>
        <w:rPr>
          <w:rFonts w:hint="eastAsia" w:ascii="宋体" w:hAnsi="宋体" w:eastAsia="宋体" w:cs="宋体"/>
          <w:b/>
          <w:color w:val="auto"/>
          <w:sz w:val="22"/>
          <w:szCs w:val="22"/>
          <w:highlight w:val="none"/>
        </w:rPr>
        <w:t>其他要求</w:t>
      </w:r>
    </w:p>
    <w:p w14:paraId="24499FA0">
      <w:pPr>
        <w:keepNext w:val="0"/>
        <w:keepLines w:val="0"/>
        <w:pageBreakBefore w:val="0"/>
        <w:widowControl/>
        <w:numPr>
          <w:ilvl w:val="0"/>
          <w:numId w:val="5"/>
        </w:numPr>
        <w:kinsoku/>
        <w:wordWrap/>
        <w:overflowPunct/>
        <w:topLinePunct w:val="0"/>
        <w:bidi w:val="0"/>
        <w:spacing w:line="360" w:lineRule="exact"/>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本项目为交钥匙</w:t>
      </w:r>
      <w:r>
        <w:rPr>
          <w:rFonts w:hint="eastAsia" w:ascii="宋体" w:hAnsi="宋体" w:eastAsia="宋体" w:cs="宋体"/>
          <w:b/>
          <w:bCs/>
          <w:color w:val="auto"/>
          <w:sz w:val="22"/>
          <w:szCs w:val="22"/>
          <w:highlight w:val="none"/>
          <w:u w:val="single"/>
          <w:lang w:val="en-US" w:eastAsia="zh-CN"/>
        </w:rPr>
        <w:t>项目</w:t>
      </w:r>
      <w:r>
        <w:rPr>
          <w:rFonts w:hint="eastAsia" w:ascii="宋体" w:hAnsi="宋体" w:eastAsia="宋体" w:cs="宋体"/>
          <w:b/>
          <w:bCs/>
          <w:color w:val="auto"/>
          <w:sz w:val="22"/>
          <w:szCs w:val="22"/>
          <w:highlight w:val="none"/>
          <w:u w:val="single"/>
        </w:rPr>
        <w:t>，安装所需辅料及其它安装材料均根据现场条件自行核算，必须按</w:t>
      </w:r>
      <w:r>
        <w:rPr>
          <w:rFonts w:hint="eastAsia" w:ascii="宋体" w:hAnsi="宋体" w:eastAsia="宋体" w:cs="宋体"/>
          <w:b/>
          <w:bCs/>
          <w:color w:val="auto"/>
          <w:sz w:val="22"/>
          <w:szCs w:val="22"/>
          <w:highlight w:val="none"/>
          <w:u w:val="single"/>
          <w:lang w:val="en-US" w:eastAsia="zh-CN"/>
        </w:rPr>
        <w:t>采购</w:t>
      </w:r>
      <w:r>
        <w:rPr>
          <w:rFonts w:hint="eastAsia" w:ascii="宋体" w:hAnsi="宋体" w:eastAsia="宋体" w:cs="宋体"/>
          <w:b/>
          <w:bCs/>
          <w:color w:val="auto"/>
          <w:sz w:val="22"/>
          <w:szCs w:val="22"/>
          <w:highlight w:val="none"/>
          <w:u w:val="single"/>
        </w:rPr>
        <w:t>文件描述的功能要求进行深化设计并进行完善设备材料清单，</w:t>
      </w:r>
      <w:r>
        <w:rPr>
          <w:rFonts w:hint="eastAsia" w:ascii="宋体" w:hAnsi="宋体" w:eastAsia="宋体" w:cs="宋体"/>
          <w:b/>
          <w:bCs/>
          <w:color w:val="auto"/>
          <w:sz w:val="22"/>
          <w:szCs w:val="22"/>
          <w:highlight w:val="none"/>
          <w:u w:val="single"/>
          <w:lang w:val="en-US" w:eastAsia="zh-CN"/>
        </w:rPr>
        <w:t>报价</w:t>
      </w:r>
      <w:r>
        <w:rPr>
          <w:rFonts w:hint="eastAsia" w:ascii="宋体" w:hAnsi="宋体" w:eastAsia="宋体" w:cs="宋体"/>
          <w:b/>
          <w:bCs/>
          <w:color w:val="auto"/>
          <w:sz w:val="22"/>
          <w:szCs w:val="22"/>
          <w:highlight w:val="none"/>
          <w:u w:val="single"/>
        </w:rPr>
        <w:t>一次性包干，不作调整。</w:t>
      </w:r>
      <w:r>
        <w:rPr>
          <w:rFonts w:hint="eastAsia" w:ascii="宋体" w:hAnsi="宋体" w:eastAsia="宋体" w:cs="宋体"/>
          <w:b/>
          <w:bCs/>
          <w:color w:val="auto"/>
          <w:sz w:val="22"/>
          <w:szCs w:val="22"/>
          <w:highlight w:val="none"/>
          <w:u w:val="single"/>
          <w:lang w:val="en-US" w:eastAsia="zh-CN"/>
        </w:rPr>
        <w:t>成交</w:t>
      </w:r>
      <w:r>
        <w:rPr>
          <w:rFonts w:hint="eastAsia" w:ascii="宋体" w:hAnsi="宋体" w:eastAsia="宋体" w:cs="宋体"/>
          <w:b/>
          <w:bCs/>
          <w:color w:val="auto"/>
          <w:sz w:val="22"/>
          <w:szCs w:val="22"/>
          <w:highlight w:val="none"/>
          <w:u w:val="single"/>
        </w:rPr>
        <w:t>供应商不得以任何理由增加该项报价。采购人清单中的货物如有遗漏必须的设备，请供应商自行配齐，</w:t>
      </w:r>
      <w:r>
        <w:rPr>
          <w:rFonts w:hint="eastAsia" w:ascii="宋体" w:hAnsi="宋体" w:eastAsia="宋体" w:cs="宋体"/>
          <w:b/>
          <w:bCs/>
          <w:color w:val="auto"/>
          <w:sz w:val="22"/>
          <w:szCs w:val="22"/>
          <w:highlight w:val="none"/>
          <w:u w:val="single"/>
          <w:lang w:val="en-US" w:eastAsia="zh-CN"/>
        </w:rPr>
        <w:t>成交</w:t>
      </w:r>
      <w:r>
        <w:rPr>
          <w:rFonts w:hint="eastAsia" w:ascii="宋体" w:hAnsi="宋体" w:eastAsia="宋体" w:cs="宋体"/>
          <w:b/>
          <w:bCs/>
          <w:color w:val="auto"/>
          <w:sz w:val="22"/>
          <w:szCs w:val="22"/>
          <w:highlight w:val="none"/>
          <w:u w:val="single"/>
        </w:rPr>
        <w:t>后采购人将不予调整。</w:t>
      </w:r>
    </w:p>
    <w:p w14:paraId="374FD7BC">
      <w:pPr>
        <w:keepNext w:val="0"/>
        <w:keepLines w:val="0"/>
        <w:pageBreakBefore w:val="0"/>
        <w:widowControl/>
        <w:numPr>
          <w:ilvl w:val="0"/>
          <w:numId w:val="5"/>
        </w:numPr>
        <w:kinsoku/>
        <w:wordWrap/>
        <w:overflowPunct/>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本次采购所有设备类产品要求全部部件均为原厂原装，</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所报价的所有设备需有产地证明、装箱清单、技术说明书等。</w:t>
      </w:r>
    </w:p>
    <w:p w14:paraId="4D55D484">
      <w:pPr>
        <w:keepNext w:val="0"/>
        <w:keepLines w:val="0"/>
        <w:pageBreakBefore w:val="0"/>
        <w:widowControl/>
        <w:numPr>
          <w:ilvl w:val="0"/>
          <w:numId w:val="5"/>
        </w:numPr>
        <w:kinsoku/>
        <w:wordWrap/>
        <w:overflowPunct/>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lang w:val="zh-CN"/>
        </w:rPr>
        <w:t>采购人有权根据实际情况局部细微修改技术参数，投标价格不予调整。合同签订时成交供应商须和采购人再次确认技术参数</w:t>
      </w:r>
      <w:r>
        <w:rPr>
          <w:rFonts w:hint="eastAsia" w:ascii="宋体" w:hAnsi="宋体" w:eastAsia="宋体" w:cs="宋体"/>
          <w:b/>
          <w:bCs/>
          <w:color w:val="auto"/>
          <w:sz w:val="22"/>
          <w:szCs w:val="22"/>
          <w:highlight w:val="none"/>
          <w:u w:val="single"/>
        </w:rPr>
        <w:t>。</w:t>
      </w:r>
    </w:p>
    <w:p w14:paraId="5E2B75AF">
      <w:pPr>
        <w:keepNext w:val="0"/>
        <w:keepLines w:val="0"/>
        <w:pageBreakBefore w:val="0"/>
        <w:widowControl/>
        <w:numPr>
          <w:ilvl w:val="0"/>
          <w:numId w:val="5"/>
        </w:numPr>
        <w:kinsoku/>
        <w:wordWrap/>
        <w:overflowPunct/>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如采购内容及技术要求有所遗漏进而造成采购人不能正常使用，</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须免费提供以上配置清单所需的所有配件并承担项目实施中产生的相关费用；</w:t>
      </w:r>
    </w:p>
    <w:p w14:paraId="2FC0C77F">
      <w:pPr>
        <w:keepNext w:val="0"/>
        <w:keepLines w:val="0"/>
        <w:pageBreakBefore w:val="0"/>
        <w:widowControl/>
        <w:numPr>
          <w:ilvl w:val="0"/>
          <w:numId w:val="5"/>
        </w:numPr>
        <w:kinsoku/>
        <w:wordWrap/>
        <w:overflowPunct/>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交货及完工进度保证</w:t>
      </w:r>
    </w:p>
    <w:p w14:paraId="07CC62FD">
      <w:pPr>
        <w:keepNext w:val="0"/>
        <w:keepLines w:val="0"/>
        <w:pageBreakBefore w:val="0"/>
        <w:kinsoku/>
        <w:wordWrap/>
        <w:overflowPunct/>
        <w:topLinePunct w:val="0"/>
        <w:bidi w:val="0"/>
        <w:spacing w:line="360" w:lineRule="exact"/>
        <w:ind w:lef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b/>
          <w:bCs/>
          <w:color w:val="auto"/>
          <w:sz w:val="22"/>
          <w:szCs w:val="22"/>
          <w:highlight w:val="none"/>
          <w:u w:val="single"/>
        </w:rPr>
        <w:t>交货时间：合同签订后，</w:t>
      </w:r>
      <w:r>
        <w:rPr>
          <w:rFonts w:hint="eastAsia" w:ascii="宋体" w:hAnsi="宋体" w:cs="宋体"/>
          <w:b/>
          <w:bCs/>
          <w:color w:val="auto"/>
          <w:sz w:val="22"/>
          <w:szCs w:val="22"/>
          <w:highlight w:val="none"/>
          <w:u w:val="single"/>
          <w:lang w:val="en-US" w:eastAsia="zh-CN"/>
        </w:rPr>
        <w:t>收到预付款后，10</w:t>
      </w:r>
      <w:r>
        <w:rPr>
          <w:rFonts w:hint="eastAsia" w:ascii="宋体" w:hAnsi="宋体" w:eastAsia="宋体" w:cs="宋体"/>
          <w:b/>
          <w:bCs/>
          <w:color w:val="auto"/>
          <w:sz w:val="22"/>
          <w:szCs w:val="22"/>
          <w:highlight w:val="none"/>
          <w:u w:val="single"/>
        </w:rPr>
        <w:t>日历天内完成供货、安装并通过采购人验收。</w:t>
      </w:r>
    </w:p>
    <w:p w14:paraId="7D313DBD">
      <w:pPr>
        <w:keepNext w:val="0"/>
        <w:keepLines w:val="0"/>
        <w:pageBreakBefore w:val="0"/>
        <w:kinsoku/>
        <w:wordWrap/>
        <w:overflowPunct/>
        <w:topLinePunct w:val="0"/>
        <w:bidi w:val="0"/>
        <w:spacing w:line="360" w:lineRule="exact"/>
        <w:ind w:left="4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2）</w:t>
      </w:r>
      <w:r>
        <w:rPr>
          <w:rFonts w:hint="eastAsia" w:ascii="宋体" w:hAnsi="宋体" w:eastAsia="宋体" w:cs="宋体"/>
          <w:b/>
          <w:bCs/>
          <w:color w:val="auto"/>
          <w:sz w:val="22"/>
          <w:szCs w:val="22"/>
          <w:highlight w:val="none"/>
          <w:u w:val="single"/>
          <w:lang w:val="en-US" w:eastAsia="zh-CN"/>
        </w:rPr>
        <w:t>交货地点：采购人指定地点。</w:t>
      </w:r>
    </w:p>
    <w:p w14:paraId="6EB5133F">
      <w:pPr>
        <w:keepNext w:val="0"/>
        <w:keepLines w:val="0"/>
        <w:pageBreakBefore w:val="0"/>
        <w:kinsoku/>
        <w:wordWrap/>
        <w:overflowPunct/>
        <w:topLinePunct w:val="0"/>
        <w:bidi w:val="0"/>
        <w:spacing w:line="360" w:lineRule="exact"/>
        <w:ind w:lef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须在</w:t>
      </w:r>
      <w:r>
        <w:rPr>
          <w:rFonts w:hint="eastAsia" w:ascii="宋体" w:hAnsi="宋体" w:eastAsia="宋体" w:cs="宋体"/>
          <w:color w:val="auto"/>
          <w:sz w:val="22"/>
          <w:szCs w:val="22"/>
          <w:highlight w:val="none"/>
          <w:lang w:eastAsia="zh-CN"/>
        </w:rPr>
        <w:t>投标文件</w:t>
      </w:r>
      <w:r>
        <w:rPr>
          <w:rFonts w:hint="eastAsia" w:ascii="宋体" w:hAnsi="宋体" w:eastAsia="宋体" w:cs="宋体"/>
          <w:color w:val="auto"/>
          <w:sz w:val="22"/>
          <w:szCs w:val="22"/>
          <w:highlight w:val="none"/>
        </w:rPr>
        <w:t>技术标中针对本次采购制定详细的施工计划及供货安装计划，保证本次采购项目按时优质完成。</w:t>
      </w:r>
    </w:p>
    <w:p w14:paraId="15518201">
      <w:pPr>
        <w:keepNext w:val="0"/>
        <w:keepLines w:val="0"/>
        <w:pageBreakBefore w:val="0"/>
        <w:widowControl/>
        <w:numPr>
          <w:ilvl w:val="0"/>
          <w:numId w:val="5"/>
        </w:numPr>
        <w:kinsoku/>
        <w:wordWrap/>
        <w:overflowPunct/>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提供资料要求</w:t>
      </w:r>
    </w:p>
    <w:p w14:paraId="791D379A">
      <w:pPr>
        <w:keepNext w:val="0"/>
        <w:keepLines w:val="0"/>
        <w:pageBreakBefore w:val="0"/>
        <w:kinsoku/>
        <w:wordWrap/>
        <w:overflowPunct/>
        <w:topLinePunct w:val="0"/>
        <w:bidi w:val="0"/>
        <w:spacing w:line="360" w:lineRule="exact"/>
        <w:ind w:lef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1）根据上表，需原厂质保证明的产品，须在合同签订前提供针对该项目的原厂售后服务承诺函原件，且与</w:t>
      </w:r>
      <w:r>
        <w:rPr>
          <w:rFonts w:hint="eastAsia" w:ascii="宋体" w:hAnsi="宋体" w:eastAsia="宋体" w:cs="宋体"/>
          <w:color w:val="auto"/>
          <w:sz w:val="22"/>
          <w:szCs w:val="22"/>
          <w:highlight w:val="none"/>
          <w:lang w:eastAsia="zh-CN"/>
        </w:rPr>
        <w:t>所投产品</w:t>
      </w:r>
      <w:r>
        <w:rPr>
          <w:rFonts w:hint="eastAsia" w:ascii="宋体" w:hAnsi="宋体" w:eastAsia="宋体" w:cs="宋体"/>
          <w:color w:val="auto"/>
          <w:sz w:val="22"/>
          <w:szCs w:val="22"/>
          <w:highlight w:val="none"/>
        </w:rPr>
        <w:t>必须一致。</w:t>
      </w:r>
    </w:p>
    <w:p w14:paraId="15D96800">
      <w:pPr>
        <w:keepNext w:val="0"/>
        <w:keepLines w:val="0"/>
        <w:pageBreakBefore w:val="0"/>
        <w:kinsoku/>
        <w:wordWrap/>
        <w:overflowPunct/>
        <w:topLinePunct w:val="0"/>
        <w:bidi w:val="0"/>
        <w:spacing w:line="360" w:lineRule="exact"/>
        <w:ind w:lef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w:t>
      </w:r>
      <w:r>
        <w:rPr>
          <w:rFonts w:hint="eastAsia" w:ascii="宋体" w:hAnsi="宋体" w:eastAsia="宋体" w:cs="宋体"/>
          <w:color w:val="auto"/>
          <w:sz w:val="22"/>
          <w:szCs w:val="22"/>
          <w:highlight w:val="none"/>
          <w:lang w:val="en-US" w:eastAsia="zh-CN"/>
        </w:rPr>
        <w:t>成交</w:t>
      </w:r>
      <w:r>
        <w:rPr>
          <w:rFonts w:hint="eastAsia" w:ascii="宋体" w:hAnsi="宋体" w:eastAsia="宋体" w:cs="宋体"/>
          <w:color w:val="auto"/>
          <w:sz w:val="22"/>
          <w:szCs w:val="22"/>
          <w:highlight w:val="none"/>
        </w:rPr>
        <w:t>并签定合同后，</w:t>
      </w:r>
      <w:r>
        <w:rPr>
          <w:rFonts w:hint="eastAsia" w:ascii="宋体" w:hAnsi="宋体" w:eastAsia="宋体" w:cs="宋体"/>
          <w:color w:val="auto"/>
          <w:sz w:val="22"/>
          <w:szCs w:val="22"/>
          <w:highlight w:val="none"/>
          <w:lang w:eastAsia="zh-CN"/>
        </w:rPr>
        <w:t>成交供应商</w:t>
      </w:r>
      <w:r>
        <w:rPr>
          <w:rFonts w:hint="eastAsia" w:ascii="宋体" w:hAnsi="宋体" w:eastAsia="宋体" w:cs="宋体"/>
          <w:color w:val="auto"/>
          <w:sz w:val="22"/>
          <w:szCs w:val="22"/>
          <w:highlight w:val="none"/>
        </w:rPr>
        <w:t>应根据采购人的要求，免费向采购人提交详细的相关技术资料。</w:t>
      </w:r>
    </w:p>
    <w:p w14:paraId="517A9510">
      <w:pPr>
        <w:keepNext w:val="0"/>
        <w:keepLines w:val="0"/>
        <w:pageBreakBefore w:val="0"/>
        <w:kinsoku/>
        <w:wordWrap/>
        <w:overflowPunct/>
        <w:topLinePunct w:val="0"/>
        <w:bidi w:val="0"/>
        <w:spacing w:line="360" w:lineRule="exact"/>
        <w:ind w:lef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3）在供货时，</w:t>
      </w:r>
      <w:r>
        <w:rPr>
          <w:rFonts w:hint="eastAsia" w:ascii="宋体" w:hAnsi="宋体" w:eastAsia="宋体" w:cs="宋体"/>
          <w:color w:val="auto"/>
          <w:sz w:val="22"/>
          <w:szCs w:val="22"/>
          <w:highlight w:val="none"/>
          <w:lang w:eastAsia="zh-CN"/>
        </w:rPr>
        <w:t>成交供应商</w:t>
      </w:r>
      <w:r>
        <w:rPr>
          <w:rFonts w:hint="eastAsia" w:ascii="宋体" w:hAnsi="宋体" w:eastAsia="宋体" w:cs="宋体"/>
          <w:color w:val="auto"/>
          <w:sz w:val="22"/>
          <w:szCs w:val="22"/>
          <w:highlight w:val="none"/>
        </w:rPr>
        <w:t>须向采购人提供产品的检验标准和检测报告、合格证书等。</w:t>
      </w:r>
    </w:p>
    <w:p w14:paraId="6988E18A">
      <w:pPr>
        <w:keepNext w:val="0"/>
        <w:keepLines w:val="0"/>
        <w:pageBreakBefore w:val="0"/>
        <w:widowControl/>
        <w:numPr>
          <w:ilvl w:val="0"/>
          <w:numId w:val="5"/>
        </w:numPr>
        <w:kinsoku/>
        <w:wordWrap/>
        <w:overflowPunct/>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产品的检验</w:t>
      </w:r>
    </w:p>
    <w:p w14:paraId="5DCA9393">
      <w:pPr>
        <w:keepNext w:val="0"/>
        <w:keepLines w:val="0"/>
        <w:pageBreakBefore w:val="0"/>
        <w:kinsoku/>
        <w:wordWrap/>
        <w:overflowPunct/>
        <w:topLinePunct w:val="0"/>
        <w:bidi w:val="0"/>
        <w:spacing w:line="360" w:lineRule="exact"/>
        <w:ind w:lef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成交供应商</w:t>
      </w:r>
      <w:r>
        <w:rPr>
          <w:rFonts w:hint="eastAsia" w:ascii="宋体" w:hAnsi="宋体" w:eastAsia="宋体" w:cs="宋体"/>
          <w:color w:val="auto"/>
          <w:sz w:val="22"/>
          <w:szCs w:val="22"/>
          <w:highlight w:val="none"/>
        </w:rPr>
        <w:t>须按采购人的要求提供必要的技术数据和检验、试验报告。</w:t>
      </w:r>
    </w:p>
    <w:p w14:paraId="4F1A8C9E">
      <w:pPr>
        <w:keepNext w:val="0"/>
        <w:keepLines w:val="0"/>
        <w:pageBreakBefore w:val="0"/>
        <w:kinsoku/>
        <w:wordWrap/>
        <w:overflowPunct/>
        <w:topLinePunct w:val="0"/>
        <w:bidi w:val="0"/>
        <w:spacing w:line="360" w:lineRule="exact"/>
        <w:ind w:left="420"/>
        <w:rPr>
          <w:rFonts w:ascii="宋体" w:hAnsi="宋体" w:cs="Arial"/>
          <w:color w:val="auto"/>
          <w:sz w:val="22"/>
          <w:szCs w:val="22"/>
          <w:highlight w:val="none"/>
        </w:rPr>
      </w:pPr>
      <w:r>
        <w:rPr>
          <w:rFonts w:hint="eastAsia" w:ascii="宋体" w:hAnsi="宋体" w:eastAsia="宋体" w:cs="宋体"/>
          <w:b w:val="0"/>
          <w:bCs w:val="0"/>
          <w:color w:val="auto"/>
          <w:sz w:val="22"/>
          <w:szCs w:val="22"/>
          <w:highlight w:val="none"/>
          <w:u w:val="none"/>
        </w:rPr>
        <w:t>2）</w:t>
      </w:r>
      <w:r>
        <w:rPr>
          <w:rFonts w:hint="eastAsia" w:ascii="宋体" w:hAnsi="宋体" w:eastAsia="宋体" w:cs="宋体"/>
          <w:b w:val="0"/>
          <w:bCs w:val="0"/>
          <w:color w:val="auto"/>
          <w:sz w:val="22"/>
          <w:szCs w:val="22"/>
          <w:highlight w:val="none"/>
          <w:u w:val="none"/>
          <w:lang w:eastAsia="zh-CN"/>
        </w:rPr>
        <w:t>成交供</w:t>
      </w:r>
      <w:r>
        <w:rPr>
          <w:rFonts w:hint="eastAsia" w:ascii="宋体" w:hAnsi="宋体" w:eastAsia="宋体" w:cs="宋体"/>
          <w:color w:val="auto"/>
          <w:sz w:val="22"/>
          <w:szCs w:val="22"/>
          <w:highlight w:val="none"/>
          <w:lang w:eastAsia="zh-CN"/>
        </w:rPr>
        <w:t>应商</w:t>
      </w:r>
      <w:r>
        <w:rPr>
          <w:rFonts w:hint="eastAsia" w:ascii="宋体" w:hAnsi="宋体" w:eastAsia="宋体" w:cs="宋体"/>
          <w:color w:val="auto"/>
          <w:sz w:val="22"/>
          <w:szCs w:val="22"/>
          <w:highlight w:val="none"/>
        </w:rPr>
        <w:t>应派员在产品到交货地时进行到货验收。若发现任何损坏及质量问题，</w:t>
      </w:r>
      <w:r>
        <w:rPr>
          <w:rFonts w:hint="eastAsia" w:ascii="宋体" w:hAnsi="宋体" w:eastAsia="宋体" w:cs="宋体"/>
          <w:color w:val="auto"/>
          <w:sz w:val="22"/>
          <w:szCs w:val="22"/>
          <w:highlight w:val="none"/>
          <w:lang w:eastAsia="zh-CN"/>
        </w:rPr>
        <w:t>成交供应</w:t>
      </w:r>
      <w:r>
        <w:rPr>
          <w:rFonts w:hint="eastAsia" w:ascii="宋体" w:hAnsi="宋体" w:cs="Arial"/>
          <w:color w:val="auto"/>
          <w:sz w:val="22"/>
          <w:szCs w:val="22"/>
          <w:highlight w:val="none"/>
          <w:lang w:eastAsia="zh-CN"/>
        </w:rPr>
        <w:t>商</w:t>
      </w:r>
      <w:r>
        <w:rPr>
          <w:rFonts w:hint="eastAsia" w:ascii="宋体" w:hAnsi="宋体" w:cs="Arial"/>
          <w:color w:val="auto"/>
          <w:sz w:val="22"/>
          <w:szCs w:val="22"/>
          <w:highlight w:val="none"/>
        </w:rPr>
        <w:t>应负责更换，并妥善处理直至采购人满意，由此发生的一切费用由</w:t>
      </w:r>
      <w:r>
        <w:rPr>
          <w:rFonts w:hint="eastAsia" w:ascii="宋体" w:hAnsi="宋体" w:cs="Arial"/>
          <w:color w:val="auto"/>
          <w:sz w:val="22"/>
          <w:szCs w:val="22"/>
          <w:highlight w:val="none"/>
          <w:lang w:eastAsia="zh-CN"/>
        </w:rPr>
        <w:t>成交供应商</w:t>
      </w:r>
      <w:r>
        <w:rPr>
          <w:rFonts w:hint="eastAsia" w:ascii="宋体" w:hAnsi="宋体" w:cs="Arial"/>
          <w:color w:val="auto"/>
          <w:sz w:val="22"/>
          <w:szCs w:val="22"/>
          <w:highlight w:val="none"/>
        </w:rPr>
        <w:t>负责承担。</w:t>
      </w:r>
    </w:p>
    <w:p w14:paraId="1DA4B021">
      <w:pPr>
        <w:keepNext w:val="0"/>
        <w:keepLines w:val="0"/>
        <w:pageBreakBefore w:val="0"/>
        <w:widowControl/>
        <w:numPr>
          <w:ilvl w:val="0"/>
          <w:numId w:val="5"/>
        </w:numPr>
        <w:kinsoku/>
        <w:wordWrap/>
        <w:overflowPunct/>
        <w:topLinePunct w:val="0"/>
        <w:bidi w:val="0"/>
        <w:spacing w:line="360" w:lineRule="exact"/>
        <w:rPr>
          <w:rFonts w:ascii="宋体" w:hAnsi="宋体" w:cs="Arial"/>
          <w:color w:val="auto"/>
          <w:sz w:val="22"/>
          <w:szCs w:val="22"/>
          <w:highlight w:val="none"/>
        </w:rPr>
      </w:pPr>
      <w:r>
        <w:rPr>
          <w:rFonts w:hint="eastAsia" w:ascii="宋体" w:hAnsi="宋体" w:cs="Arial"/>
          <w:color w:val="auto"/>
          <w:sz w:val="22"/>
          <w:szCs w:val="22"/>
          <w:highlight w:val="none"/>
        </w:rPr>
        <w:t>质量保证</w:t>
      </w:r>
    </w:p>
    <w:p w14:paraId="709A4545">
      <w:pPr>
        <w:keepNext w:val="0"/>
        <w:keepLines w:val="0"/>
        <w:pageBreakBefore w:val="0"/>
        <w:kinsoku/>
        <w:wordWrap/>
        <w:overflowPunct/>
        <w:topLinePunct w:val="0"/>
        <w:bidi w:val="0"/>
        <w:spacing w:line="360" w:lineRule="exact"/>
        <w:ind w:left="420"/>
        <w:rPr>
          <w:rFonts w:ascii="宋体" w:hAnsi="宋体" w:cs="Arial"/>
          <w:color w:val="auto"/>
          <w:sz w:val="22"/>
          <w:szCs w:val="22"/>
          <w:highlight w:val="none"/>
        </w:rPr>
      </w:pPr>
      <w:r>
        <w:rPr>
          <w:rFonts w:ascii="宋体" w:hAnsi="宋体" w:cs="Arial"/>
          <w:color w:val="auto"/>
          <w:sz w:val="22"/>
          <w:szCs w:val="22"/>
          <w:highlight w:val="none"/>
        </w:rPr>
        <w:t>1</w:t>
      </w:r>
      <w:r>
        <w:rPr>
          <w:rFonts w:ascii="宋体" w:hAnsi="宋体" w:cs="Arial"/>
          <w:b/>
          <w:color w:val="auto"/>
          <w:sz w:val="22"/>
          <w:szCs w:val="22"/>
          <w:highlight w:val="none"/>
        </w:rPr>
        <w:t>）</w:t>
      </w:r>
      <w:r>
        <w:rPr>
          <w:rFonts w:hint="eastAsia" w:ascii="宋体" w:hAnsi="宋体" w:cs="Arial"/>
          <w:b/>
          <w:color w:val="auto"/>
          <w:sz w:val="22"/>
          <w:szCs w:val="22"/>
          <w:highlight w:val="none"/>
        </w:rPr>
        <w:t>本项</w:t>
      </w:r>
      <w:r>
        <w:rPr>
          <w:rFonts w:hint="eastAsia" w:ascii="宋体" w:hAnsi="宋体" w:eastAsia="宋体" w:cs="Arial"/>
          <w:b/>
          <w:color w:val="auto"/>
          <w:sz w:val="22"/>
          <w:szCs w:val="22"/>
          <w:highlight w:val="none"/>
        </w:rPr>
        <w:t>目货物免费质保期为自货物通过最终验收</w:t>
      </w:r>
      <w:r>
        <w:rPr>
          <w:rFonts w:hint="eastAsia" w:ascii="宋体" w:hAnsi="宋体" w:eastAsia="宋体" w:cs="Arial"/>
          <w:b/>
          <w:color w:val="auto"/>
          <w:sz w:val="22"/>
          <w:szCs w:val="22"/>
          <w:highlight w:val="none"/>
          <w:lang w:val="en-US" w:eastAsia="zh-CN"/>
        </w:rPr>
        <w:t>整机1</w:t>
      </w:r>
      <w:r>
        <w:rPr>
          <w:rFonts w:hint="eastAsia" w:ascii="宋体" w:hAnsi="宋体" w:eastAsia="宋体" w:cs="Arial"/>
          <w:b/>
          <w:color w:val="auto"/>
          <w:sz w:val="22"/>
          <w:szCs w:val="22"/>
          <w:highlight w:val="none"/>
        </w:rPr>
        <w:t>年</w:t>
      </w:r>
      <w:r>
        <w:rPr>
          <w:rFonts w:hint="eastAsia" w:ascii="宋体" w:hAnsi="宋体" w:eastAsia="宋体" w:cs="Arial"/>
          <w:b/>
          <w:color w:val="auto"/>
          <w:sz w:val="22"/>
          <w:szCs w:val="22"/>
          <w:highlight w:val="none"/>
          <w:lang w:eastAsia="zh-CN"/>
        </w:rPr>
        <w:t>，</w:t>
      </w:r>
      <w:r>
        <w:rPr>
          <w:rFonts w:hint="eastAsia" w:ascii="宋体" w:hAnsi="宋体" w:cs="Arial"/>
          <w:b/>
          <w:color w:val="auto"/>
          <w:sz w:val="22"/>
          <w:szCs w:val="22"/>
          <w:highlight w:val="none"/>
        </w:rPr>
        <w:t>终身维护；原厂商若有更高的保修期以原厂商提供为准，并在</w:t>
      </w:r>
      <w:r>
        <w:rPr>
          <w:rFonts w:hint="eastAsia" w:ascii="宋体" w:hAnsi="宋体" w:cs="Arial"/>
          <w:b/>
          <w:color w:val="auto"/>
          <w:sz w:val="22"/>
          <w:szCs w:val="22"/>
          <w:highlight w:val="none"/>
          <w:lang w:eastAsia="zh-CN"/>
        </w:rPr>
        <w:t>投标文件</w:t>
      </w:r>
      <w:r>
        <w:rPr>
          <w:rFonts w:hint="eastAsia" w:ascii="宋体" w:hAnsi="宋体" w:cs="Arial"/>
          <w:b/>
          <w:color w:val="auto"/>
          <w:sz w:val="22"/>
          <w:szCs w:val="22"/>
          <w:highlight w:val="none"/>
        </w:rPr>
        <w:t>中明确承诺。</w:t>
      </w:r>
    </w:p>
    <w:p w14:paraId="0534A61B">
      <w:pPr>
        <w:keepNext w:val="0"/>
        <w:keepLines w:val="0"/>
        <w:pageBreakBefore w:val="0"/>
        <w:kinsoku/>
        <w:wordWrap/>
        <w:overflowPunct/>
        <w:topLinePunct w:val="0"/>
        <w:bidi w:val="0"/>
        <w:spacing w:line="360" w:lineRule="exact"/>
        <w:ind w:left="420"/>
        <w:rPr>
          <w:rFonts w:ascii="宋体" w:hAnsi="宋体" w:cs="Arial"/>
          <w:color w:val="auto"/>
          <w:sz w:val="22"/>
          <w:szCs w:val="22"/>
          <w:highlight w:val="none"/>
        </w:rPr>
      </w:pPr>
      <w:r>
        <w:rPr>
          <w:rFonts w:ascii="宋体" w:hAnsi="宋体" w:cs="Arial"/>
          <w:color w:val="auto"/>
          <w:sz w:val="22"/>
          <w:szCs w:val="22"/>
          <w:highlight w:val="none"/>
        </w:rPr>
        <w:t>2）</w:t>
      </w:r>
      <w:r>
        <w:rPr>
          <w:rFonts w:hint="eastAsia" w:ascii="宋体" w:hAnsi="宋体" w:cs="Arial"/>
          <w:color w:val="auto"/>
          <w:sz w:val="22"/>
          <w:szCs w:val="22"/>
          <w:highlight w:val="none"/>
        </w:rPr>
        <w:t>提供24小时服务，而且维修人员需在接到维修电话后4小时内赶到现场，处理问题，提供不间断的服务直到结束。</w:t>
      </w:r>
    </w:p>
    <w:p w14:paraId="4F27891C">
      <w:pPr>
        <w:keepNext w:val="0"/>
        <w:keepLines w:val="0"/>
        <w:pageBreakBefore w:val="0"/>
        <w:kinsoku/>
        <w:wordWrap/>
        <w:overflowPunct/>
        <w:topLinePunct w:val="0"/>
        <w:bidi w:val="0"/>
        <w:spacing w:line="360" w:lineRule="exact"/>
        <w:ind w:left="420"/>
        <w:rPr>
          <w:rFonts w:ascii="宋体" w:hAnsi="宋体" w:cs="Arial"/>
          <w:color w:val="auto"/>
          <w:sz w:val="22"/>
          <w:szCs w:val="22"/>
          <w:highlight w:val="none"/>
        </w:rPr>
      </w:pPr>
      <w:r>
        <w:rPr>
          <w:rFonts w:ascii="宋体" w:hAnsi="宋体" w:cs="Arial"/>
          <w:color w:val="auto"/>
          <w:sz w:val="22"/>
          <w:szCs w:val="22"/>
          <w:highlight w:val="none"/>
        </w:rPr>
        <w:t>3）</w:t>
      </w:r>
      <w:r>
        <w:rPr>
          <w:rFonts w:hint="eastAsia" w:ascii="宋体" w:hAnsi="宋体" w:cs="Arial"/>
          <w:color w:val="auto"/>
          <w:sz w:val="22"/>
          <w:szCs w:val="22"/>
          <w:highlight w:val="none"/>
        </w:rPr>
        <w:t>在质保期内的工作应包括对所有产品常规检查、调整等。供货方须自行付费负责修理和更换任何由于产品自身的质量问题造成的损坏及故障。</w:t>
      </w:r>
    </w:p>
    <w:p w14:paraId="73BB10D7">
      <w:pPr>
        <w:keepNext w:val="0"/>
        <w:keepLines w:val="0"/>
        <w:pageBreakBefore w:val="0"/>
        <w:kinsoku/>
        <w:wordWrap/>
        <w:overflowPunct/>
        <w:topLinePunct w:val="0"/>
        <w:bidi w:val="0"/>
        <w:spacing w:line="360" w:lineRule="exact"/>
        <w:ind w:left="420"/>
        <w:rPr>
          <w:rFonts w:ascii="宋体" w:hAnsi="宋体" w:cs="Arial"/>
          <w:color w:val="auto"/>
          <w:sz w:val="22"/>
          <w:szCs w:val="22"/>
          <w:highlight w:val="none"/>
        </w:rPr>
      </w:pPr>
      <w:r>
        <w:rPr>
          <w:rFonts w:ascii="宋体" w:hAnsi="宋体" w:cs="Arial"/>
          <w:color w:val="auto"/>
          <w:sz w:val="22"/>
          <w:szCs w:val="22"/>
          <w:highlight w:val="none"/>
        </w:rPr>
        <w:t>4）</w:t>
      </w:r>
      <w:r>
        <w:rPr>
          <w:rFonts w:hint="eastAsia" w:ascii="宋体" w:hAnsi="宋体" w:cs="Arial"/>
          <w:color w:val="auto"/>
          <w:sz w:val="22"/>
          <w:szCs w:val="22"/>
          <w:highlight w:val="none"/>
        </w:rPr>
        <w:t>免费质保期满后，须以低于市场价的价格长期提供维修及日常保养及维修零部件。</w:t>
      </w:r>
    </w:p>
    <w:p w14:paraId="432E588B">
      <w:pPr>
        <w:keepNext w:val="0"/>
        <w:keepLines w:val="0"/>
        <w:pageBreakBefore w:val="0"/>
        <w:widowControl/>
        <w:numPr>
          <w:ilvl w:val="0"/>
          <w:numId w:val="5"/>
        </w:numPr>
        <w:kinsoku/>
        <w:wordWrap/>
        <w:overflowPunct/>
        <w:topLinePunct w:val="0"/>
        <w:bidi w:val="0"/>
        <w:spacing w:line="360" w:lineRule="exact"/>
        <w:rPr>
          <w:rFonts w:ascii="宋体" w:hAnsi="宋体" w:eastAsia="宋体" w:cs="宋体"/>
          <w:b w:val="0"/>
          <w:bCs w:val="0"/>
          <w:color w:val="auto"/>
          <w:sz w:val="22"/>
          <w:szCs w:val="22"/>
          <w:highlight w:val="none"/>
        </w:rPr>
      </w:pPr>
      <w:r>
        <w:rPr>
          <w:rFonts w:hint="eastAsia" w:ascii="宋体" w:hAnsi="宋体" w:cs="Arial"/>
          <w:color w:val="auto"/>
          <w:sz w:val="22"/>
          <w:szCs w:val="22"/>
          <w:highlight w:val="none"/>
          <w:lang w:eastAsia="zh-CN"/>
        </w:rPr>
        <w:t>供应商</w:t>
      </w:r>
      <w:r>
        <w:rPr>
          <w:rFonts w:hint="eastAsia" w:ascii="宋体" w:hAnsi="宋体" w:cs="Arial"/>
          <w:color w:val="auto"/>
          <w:sz w:val="22"/>
          <w:szCs w:val="22"/>
          <w:highlight w:val="none"/>
        </w:rPr>
        <w:t>必须确保设备的正常运转；必须配合用户做好技术支持，包括软件的安装和移植（费用包含在</w:t>
      </w:r>
      <w:r>
        <w:rPr>
          <w:rFonts w:hint="eastAsia" w:ascii="宋体" w:hAnsi="宋体" w:cs="Arial"/>
          <w:color w:val="auto"/>
          <w:sz w:val="22"/>
          <w:szCs w:val="22"/>
          <w:highlight w:val="none"/>
          <w:lang w:val="en-US" w:eastAsia="zh-CN"/>
        </w:rPr>
        <w:t>投标</w:t>
      </w:r>
      <w:r>
        <w:rPr>
          <w:rFonts w:hint="eastAsia" w:ascii="宋体" w:hAnsi="宋体" w:cs="Arial"/>
          <w:color w:val="auto"/>
          <w:sz w:val="22"/>
          <w:szCs w:val="22"/>
          <w:highlight w:val="none"/>
        </w:rPr>
        <w:t>总价中）。</w:t>
      </w:r>
    </w:p>
    <w:p w14:paraId="200296E5">
      <w:bookmarkStart w:id="0" w:name="_GoBack"/>
      <w:bookmarkEnd w:id="0"/>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hakuyoxingshu7000">
    <w:altName w:val="宋体"/>
    <w:panose1 w:val="00000000000000000000"/>
    <w:charset w:val="86"/>
    <w:family w:val="auto"/>
    <w:pitch w:val="default"/>
    <w:sig w:usb0="00000000" w:usb1="00000000" w:usb2="0000003F" w:usb3="00000000" w:csb0="003F00FF"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90DE0"/>
    <w:multiLevelType w:val="multilevel"/>
    <w:tmpl w:val="8E190DE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eastAsia"/>
      </w:rPr>
    </w:lvl>
    <w:lvl w:ilvl="2" w:tentative="0">
      <w:start w:val="1"/>
      <w:numFmt w:val="none"/>
      <w:lvlText w:val="%1"/>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B2C7C114"/>
    <w:multiLevelType w:val="singleLevel"/>
    <w:tmpl w:val="B2C7C114"/>
    <w:lvl w:ilvl="0" w:tentative="0">
      <w:start w:val="2"/>
      <w:numFmt w:val="chineseCounting"/>
      <w:suff w:val="nothing"/>
      <w:lvlText w:val="%1、"/>
      <w:lvlJc w:val="left"/>
      <w:rPr>
        <w:rFonts w:hint="eastAsia"/>
      </w:rPr>
    </w:lvl>
  </w:abstractNum>
  <w:abstractNum w:abstractNumId="2">
    <w:nsid w:val="0B22DFE2"/>
    <w:multiLevelType w:val="singleLevel"/>
    <w:tmpl w:val="0B22DFE2"/>
    <w:lvl w:ilvl="0" w:tentative="0">
      <w:start w:val="1"/>
      <w:numFmt w:val="decimal"/>
      <w:suff w:val="nothing"/>
      <w:lvlText w:val="%1．"/>
      <w:lvlJc w:val="left"/>
      <w:pPr>
        <w:ind w:left="0" w:firstLine="400"/>
      </w:pPr>
      <w:rPr>
        <w:rFonts w:hint="default"/>
      </w:rPr>
    </w:lvl>
  </w:abstractNum>
  <w:abstractNum w:abstractNumId="3">
    <w:nsid w:val="14F41327"/>
    <w:multiLevelType w:val="multilevel"/>
    <w:tmpl w:val="14F41327"/>
    <w:lvl w:ilvl="0" w:tentative="0">
      <w:start w:val="1"/>
      <w:numFmt w:val="decimal"/>
      <w:lvlText w:val="%1."/>
      <w:lvlJc w:val="left"/>
      <w:pPr>
        <w:tabs>
          <w:tab w:val="left" w:pos="420"/>
        </w:tabs>
        <w:ind w:left="420" w:hanging="420"/>
      </w:pPr>
      <w:rPr>
        <w:rFonts w:hint="eastAsia" w:ascii="宋体" w:hAnsi="宋体" w:eastAsia="宋体"/>
      </w:rPr>
    </w:lvl>
    <w:lvl w:ilvl="1" w:tentative="0">
      <w:start w:val="0"/>
      <w:numFmt w:val="none"/>
      <w:lvlText w:val="%2."/>
      <w:lvlJc w:val="left"/>
      <w:pPr>
        <w:tabs>
          <w:tab w:val="left" w:pos="1440"/>
        </w:tabs>
        <w:ind w:left="1440" w:hanging="360"/>
      </w:pPr>
    </w:lvl>
    <w:lvl w:ilvl="2" w:tentative="0">
      <w:start w:val="0"/>
      <w:numFmt w:val="none"/>
      <w:lvlText w:val="%3."/>
      <w:lvlJc w:val="left"/>
      <w:pPr>
        <w:tabs>
          <w:tab w:val="left" w:pos="2160"/>
        </w:tabs>
        <w:ind w:left="2160" w:hanging="360"/>
      </w:pPr>
    </w:lvl>
    <w:lvl w:ilvl="3" w:tentative="0">
      <w:start w:val="0"/>
      <w:numFmt w:val="none"/>
      <w:lvlText w:val="%4."/>
      <w:lvlJc w:val="left"/>
      <w:pPr>
        <w:tabs>
          <w:tab w:val="left" w:pos="2880"/>
        </w:tabs>
        <w:ind w:left="2880" w:hanging="360"/>
      </w:pPr>
    </w:lvl>
    <w:lvl w:ilvl="4" w:tentative="0">
      <w:start w:val="0"/>
      <w:numFmt w:val="none"/>
      <w:lvlText w:val="%5."/>
      <w:lvlJc w:val="left"/>
      <w:pPr>
        <w:tabs>
          <w:tab w:val="left" w:pos="3600"/>
        </w:tabs>
        <w:ind w:left="3600" w:hanging="360"/>
      </w:pPr>
    </w:lvl>
    <w:lvl w:ilvl="5" w:tentative="0">
      <w:start w:val="0"/>
      <w:numFmt w:val="none"/>
      <w:lvlText w:val="%6."/>
      <w:lvlJc w:val="left"/>
      <w:pPr>
        <w:tabs>
          <w:tab w:val="left" w:pos="4320"/>
        </w:tabs>
        <w:ind w:left="4320" w:hanging="360"/>
      </w:pPr>
    </w:lvl>
    <w:lvl w:ilvl="6" w:tentative="0">
      <w:start w:val="0"/>
      <w:numFmt w:val="none"/>
      <w:lvlText w:val="%7."/>
      <w:lvlJc w:val="left"/>
      <w:pPr>
        <w:tabs>
          <w:tab w:val="left" w:pos="5040"/>
        </w:tabs>
        <w:ind w:left="5040" w:hanging="360"/>
      </w:pPr>
    </w:lvl>
    <w:lvl w:ilvl="7" w:tentative="0">
      <w:start w:val="0"/>
      <w:numFmt w:val="none"/>
      <w:lvlText w:val="%8."/>
      <w:lvlJc w:val="left"/>
      <w:pPr>
        <w:tabs>
          <w:tab w:val="left" w:pos="5760"/>
        </w:tabs>
        <w:ind w:left="5760" w:hanging="360"/>
      </w:pPr>
    </w:lvl>
    <w:lvl w:ilvl="8" w:tentative="0">
      <w:start w:val="0"/>
      <w:numFmt w:val="none"/>
      <w:lvlText w:val="%9."/>
      <w:lvlJc w:val="left"/>
      <w:pPr>
        <w:tabs>
          <w:tab w:val="left" w:pos="6480"/>
        </w:tabs>
        <w:ind w:left="6480" w:hanging="360"/>
      </w:pPr>
    </w:lvl>
  </w:abstractNum>
  <w:abstractNum w:abstractNumId="4">
    <w:nsid w:val="43AE2551"/>
    <w:multiLevelType w:val="singleLevel"/>
    <w:tmpl w:val="43AE2551"/>
    <w:lvl w:ilvl="0" w:tentative="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 w:numId="4">
    <w:abstractNumId w:val="4"/>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119DC"/>
    <w:rsid w:val="292A6EC8"/>
    <w:rsid w:val="2E2E2FB7"/>
    <w:rsid w:val="75C175FB"/>
    <w:rsid w:val="7A955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jc w:val="center"/>
      <w:outlineLvl w:val="0"/>
    </w:pPr>
    <w:rPr>
      <w:rFonts w:ascii="楷体_GB2312" w:hAnsi="Times New Roman" w:eastAsia="楷体_GB2312" w:cs="Times New Roman"/>
      <w:b/>
      <w:bCs/>
    </w:rPr>
  </w:style>
  <w:style w:type="paragraph" w:styleId="5">
    <w:name w:val="heading 2"/>
    <w:basedOn w:val="1"/>
    <w:next w:val="1"/>
    <w:qFormat/>
    <w:uiPriority w:val="0"/>
    <w:pPr>
      <w:keepLines/>
      <w:adjustRightInd w:val="0"/>
      <w:spacing w:before="240" w:after="120" w:line="240" w:lineRule="atLeast"/>
      <w:textAlignment w:val="baseline"/>
      <w:outlineLvl w:val="1"/>
    </w:pPr>
    <w:rPr>
      <w:rFonts w:ascii="Times New Roman" w:hAnsi="Times New Roman" w:eastAsia="黑体" w:cs="Times New Roman"/>
      <w:b/>
      <w:kern w:val="0"/>
      <w:sz w:val="32"/>
      <w:szCs w:val="20"/>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rPr>
  </w:style>
  <w:style w:type="paragraph" w:styleId="3">
    <w:name w:val="Body Text First Indent"/>
    <w:basedOn w:val="2"/>
    <w:next w:val="1"/>
    <w:qFormat/>
    <w:uiPriority w:val="0"/>
    <w:pPr>
      <w:ind w:firstLine="420" w:firstLineChars="100"/>
    </w:pPr>
    <w:rPr>
      <w:rFonts w:ascii="Times New Roman" w:hAnsi="Times New Roman" w:eastAsia="宋体" w:cs="Times New Roman"/>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0"/>
    <w:pPr>
      <w:ind w:firstLine="420" w:firstLineChars="200"/>
    </w:pPr>
    <w:rPr>
      <w:rFonts w:ascii="Times New Roman" w:hAnsi="Times New Roman" w:eastAsia="宋体" w:cs="Times New Roman"/>
    </w:rPr>
  </w:style>
  <w:style w:type="character" w:customStyle="1" w:styleId="10">
    <w:name w:val="area_1"/>
    <w:uiPriority w:val="0"/>
    <w:rPr>
      <w:rFonts w:ascii="宋体" w:hAnsi="宋体" w:eastAsia="宋体"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2021-05-06T00:55:00Z</dcterms:created>
  <dc:creator>wu</dc:creator>
  <cp:lastModifiedBy>吴秉泽</cp:lastModifiedBy>
  <dcterms:modified xsi:type="dcterms:W3CDTF">2026-04-27T08:55:14Z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740BA2FD538E4F90A4FC40F373CEF11A_13</vt:lpwstr>
  </property>
  <property fmtid="{D5CDD505-2E9C-101B-9397-08002B2CF9AE}" pid="4" name="KSOTemplateDocerSaveRecord">
    <vt:lpwstr>eyJoZGlkIjoiZDRhNzcwYWMxNDc0YjRjN2UxZDk1NTg4ZWEwNTIzZDUiLCJ1c2VySWQiOiI2MzUzMDAzNzQifQ==</vt:lpwstr>
  </property>
</Properties>
</file>