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2BEAA9">
      <w:pPr>
        <w:pStyle w:val="5"/>
        <w:jc w:val="cente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采购内容及要求</w:t>
      </w:r>
    </w:p>
    <w:p w14:paraId="1FBB014A">
      <w:pPr>
        <w:autoSpaceDE w:val="0"/>
        <w:autoSpaceDN w:val="0"/>
        <w:adjustRightInd w:val="0"/>
        <w:snapToGrid w:val="0"/>
        <w:spacing w:line="360" w:lineRule="exact"/>
        <w:jc w:val="left"/>
        <w:textAlignment w:val="bottom"/>
        <w:rPr>
          <w:rFonts w:ascii="宋体" w:hAnsi="宋体" w:cs="宋体"/>
          <w:b/>
          <w:color w:val="auto"/>
          <w:sz w:val="22"/>
          <w:szCs w:val="22"/>
          <w:highlight w:val="none"/>
        </w:rPr>
      </w:pPr>
      <w:bookmarkStart w:id="0" w:name="_Toc221423623"/>
      <w:bookmarkStart w:id="1" w:name="_Toc245191318"/>
      <w:bookmarkStart w:id="2" w:name="_Toc245722285"/>
      <w:bookmarkStart w:id="3" w:name="_Toc221374630"/>
      <w:bookmarkStart w:id="4" w:name="_Toc221356955"/>
      <w:bookmarkStart w:id="5" w:name="_Toc246261269"/>
      <w:bookmarkStart w:id="6" w:name="_Toc239145358"/>
      <w:bookmarkStart w:id="7" w:name="_Toc222114883"/>
      <w:bookmarkStart w:id="8" w:name="_Toc262049422"/>
      <w:bookmarkStart w:id="9" w:name="_Toc223716002"/>
      <w:bookmarkStart w:id="10" w:name="_Toc249758868"/>
      <w:bookmarkStart w:id="11" w:name="_Toc249758716"/>
      <w:bookmarkStart w:id="12" w:name="_Toc221356891"/>
      <w:bookmarkStart w:id="13" w:name="_Toc241404206"/>
      <w:bookmarkStart w:id="14" w:name="_Toc262105507"/>
      <w:r>
        <w:rPr>
          <w:rFonts w:hint="eastAsia" w:ascii="宋体" w:hAnsi="宋体" w:cs="宋体"/>
          <w:b/>
          <w:color w:val="auto"/>
          <w:sz w:val="22"/>
          <w:szCs w:val="22"/>
          <w:highlight w:val="none"/>
        </w:rPr>
        <w:t>一、采购说明</w:t>
      </w:r>
    </w:p>
    <w:p w14:paraId="2414D0F7">
      <w:pPr>
        <w:numPr>
          <w:ilvl w:val="0"/>
          <w:numId w:val="1"/>
        </w:numPr>
        <w:tabs>
          <w:tab w:val="left" w:pos="525"/>
        </w:tabs>
        <w:autoSpaceDE w:val="0"/>
        <w:autoSpaceDN w:val="0"/>
        <w:adjustRightInd w:val="0"/>
        <w:snapToGrid w:val="0"/>
        <w:spacing w:line="360" w:lineRule="exact"/>
        <w:ind w:left="431" w:hanging="431"/>
        <w:textAlignment w:val="bottom"/>
        <w:rPr>
          <w:rFonts w:hint="eastAsia" w:ascii="宋体" w:hAnsi="宋体"/>
          <w:color w:val="auto"/>
          <w:sz w:val="22"/>
          <w:szCs w:val="22"/>
          <w:highlight w:val="none"/>
        </w:rPr>
      </w:pPr>
      <w:r>
        <w:rPr>
          <w:rFonts w:hint="eastAsia" w:ascii="宋体" w:hAnsi="宋体"/>
          <w:color w:val="auto"/>
          <w:sz w:val="22"/>
          <w:szCs w:val="22"/>
          <w:highlight w:val="none"/>
        </w:rPr>
        <w:t>此技术规格书只是采购内容的一些原则性规定，并不是完整的详尽的要求，供应商有责任根据所提供产品的实际情况对系统进行科学合理的优化设计，对所提供产品的工艺、安全性、先进性负责，并符合技术规格书的要求。</w:t>
      </w:r>
    </w:p>
    <w:p w14:paraId="39E16EA0">
      <w:pPr>
        <w:numPr>
          <w:ilvl w:val="0"/>
          <w:numId w:val="1"/>
        </w:numPr>
        <w:tabs>
          <w:tab w:val="left" w:pos="525"/>
        </w:tabs>
        <w:autoSpaceDE w:val="0"/>
        <w:autoSpaceDN w:val="0"/>
        <w:adjustRightInd w:val="0"/>
        <w:snapToGrid w:val="0"/>
        <w:spacing w:line="360" w:lineRule="exact"/>
        <w:ind w:left="431" w:hanging="431"/>
        <w:textAlignment w:val="bottom"/>
        <w:rPr>
          <w:rFonts w:hint="eastAsia" w:ascii="宋体" w:hAnsi="宋体"/>
          <w:color w:val="auto"/>
          <w:sz w:val="22"/>
          <w:szCs w:val="22"/>
          <w:highlight w:val="none"/>
        </w:rPr>
      </w:pPr>
      <w:r>
        <w:rPr>
          <w:rFonts w:hint="eastAsia" w:ascii="宋体" w:hAnsi="宋体"/>
          <w:color w:val="auto"/>
          <w:sz w:val="22"/>
          <w:szCs w:val="22"/>
          <w:highlight w:val="none"/>
        </w:rPr>
        <w:t>所投产品如与采购要求有细微偏差，业主将有权要求</w:t>
      </w:r>
      <w:r>
        <w:rPr>
          <w:rFonts w:hint="eastAsia" w:ascii="宋体" w:hAnsi="宋体"/>
          <w:color w:val="auto"/>
          <w:sz w:val="22"/>
          <w:szCs w:val="22"/>
          <w:highlight w:val="none"/>
          <w:lang w:eastAsia="zh-CN"/>
        </w:rPr>
        <w:t>供应商</w:t>
      </w:r>
      <w:r>
        <w:rPr>
          <w:rFonts w:hint="eastAsia" w:ascii="宋体" w:hAnsi="宋体"/>
          <w:color w:val="auto"/>
          <w:sz w:val="22"/>
          <w:szCs w:val="22"/>
          <w:highlight w:val="none"/>
        </w:rPr>
        <w:t>调整偏差，并不改变投标价格。</w:t>
      </w:r>
    </w:p>
    <w:p w14:paraId="5B071E15">
      <w:pPr>
        <w:numPr>
          <w:ilvl w:val="0"/>
          <w:numId w:val="1"/>
        </w:numPr>
        <w:tabs>
          <w:tab w:val="left" w:pos="525"/>
        </w:tabs>
        <w:autoSpaceDE w:val="0"/>
        <w:autoSpaceDN w:val="0"/>
        <w:adjustRightInd w:val="0"/>
        <w:snapToGrid w:val="0"/>
        <w:spacing w:line="360" w:lineRule="exact"/>
        <w:ind w:left="431" w:hanging="431"/>
        <w:textAlignment w:val="bottom"/>
        <w:rPr>
          <w:rFonts w:hint="eastAsia" w:ascii="宋体" w:hAnsi="宋体"/>
          <w:color w:val="auto"/>
          <w:sz w:val="22"/>
          <w:szCs w:val="22"/>
          <w:highlight w:val="none"/>
        </w:rPr>
      </w:pPr>
      <w:r>
        <w:rPr>
          <w:rFonts w:hint="eastAsia" w:ascii="宋体" w:hAnsi="宋体"/>
          <w:color w:val="auto"/>
          <w:sz w:val="22"/>
          <w:szCs w:val="22"/>
          <w:highlight w:val="none"/>
        </w:rPr>
        <w:t>供应商须对招标文件中的各个条款一一给予实质性答复，不能仅提供产品样本。</w:t>
      </w:r>
    </w:p>
    <w:p w14:paraId="48340334">
      <w:pPr>
        <w:numPr>
          <w:ilvl w:val="0"/>
          <w:numId w:val="1"/>
        </w:numPr>
        <w:tabs>
          <w:tab w:val="left" w:pos="525"/>
        </w:tabs>
        <w:autoSpaceDE w:val="0"/>
        <w:autoSpaceDN w:val="0"/>
        <w:adjustRightInd w:val="0"/>
        <w:snapToGrid w:val="0"/>
        <w:spacing w:line="360" w:lineRule="exact"/>
        <w:ind w:left="431" w:hanging="431"/>
        <w:textAlignment w:val="bottom"/>
        <w:rPr>
          <w:rFonts w:hint="eastAsia" w:ascii="宋体" w:hAnsi="宋体"/>
          <w:color w:val="auto"/>
          <w:sz w:val="22"/>
          <w:szCs w:val="22"/>
          <w:highlight w:val="none"/>
        </w:rPr>
      </w:pPr>
      <w:r>
        <w:rPr>
          <w:rFonts w:hint="eastAsia" w:ascii="宋体" w:hAnsi="宋体"/>
          <w:color w:val="auto"/>
          <w:sz w:val="22"/>
          <w:szCs w:val="22"/>
          <w:highlight w:val="none"/>
        </w:rPr>
        <w:t>供应商须对招标文件中涉及到的专利负责，并保证不</w:t>
      </w:r>
      <w:bookmarkStart w:id="15" w:name="_GoBack"/>
      <w:bookmarkEnd w:id="15"/>
      <w:r>
        <w:rPr>
          <w:rFonts w:hint="eastAsia" w:ascii="宋体" w:hAnsi="宋体"/>
          <w:color w:val="auto"/>
          <w:sz w:val="22"/>
          <w:szCs w:val="22"/>
          <w:highlight w:val="none"/>
        </w:rPr>
        <w:t>伤害采购人的利益。在法律范围内，所有文字、商标和技术侵权造成的相关费用，采购人及采购人概不负责。</w:t>
      </w:r>
    </w:p>
    <w:p w14:paraId="488A401C">
      <w:pPr>
        <w:numPr>
          <w:ilvl w:val="0"/>
          <w:numId w:val="1"/>
        </w:numPr>
        <w:tabs>
          <w:tab w:val="left" w:pos="525"/>
        </w:tabs>
        <w:autoSpaceDE w:val="0"/>
        <w:autoSpaceDN w:val="0"/>
        <w:adjustRightInd w:val="0"/>
        <w:snapToGrid w:val="0"/>
        <w:spacing w:line="360" w:lineRule="exact"/>
        <w:ind w:left="431" w:hanging="431"/>
        <w:textAlignment w:val="bottom"/>
        <w:rPr>
          <w:rFonts w:hint="eastAsia" w:ascii="宋体" w:hAnsi="宋体"/>
          <w:color w:val="auto"/>
          <w:sz w:val="22"/>
          <w:szCs w:val="22"/>
          <w:highlight w:val="none"/>
        </w:rPr>
      </w:pPr>
      <w:r>
        <w:rPr>
          <w:rFonts w:hint="eastAsia" w:ascii="宋体" w:hAnsi="宋体"/>
          <w:color w:val="auto"/>
          <w:sz w:val="22"/>
          <w:szCs w:val="22"/>
          <w:highlight w:val="none"/>
        </w:rPr>
        <w:t>供应商所投设备及主要部件的名称、品牌、型号、技术参数、性能、数量、单价、合价、制造商、质保期等应对照招标内容及技术要求列表对应进行说明，在投标文件的相应部分明确，对招标文件的技术条款及其它要求应予以实质性响应，如有偏离须在偏离表中注明，否则会对供应商的投标做出不利评定。</w:t>
      </w:r>
    </w:p>
    <w:p w14:paraId="76FABEC4">
      <w:pPr>
        <w:numPr>
          <w:ilvl w:val="0"/>
          <w:numId w:val="1"/>
        </w:numPr>
        <w:tabs>
          <w:tab w:val="left" w:pos="525"/>
        </w:tabs>
        <w:autoSpaceDE w:val="0"/>
        <w:autoSpaceDN w:val="0"/>
        <w:adjustRightInd w:val="0"/>
        <w:snapToGrid w:val="0"/>
        <w:spacing w:line="360" w:lineRule="exact"/>
        <w:ind w:left="431" w:hanging="431"/>
        <w:textAlignment w:val="bottom"/>
        <w:rPr>
          <w:rFonts w:hint="eastAsia" w:ascii="宋体" w:hAnsi="宋体"/>
          <w:color w:val="auto"/>
          <w:sz w:val="22"/>
          <w:szCs w:val="22"/>
          <w:highlight w:val="none"/>
        </w:rPr>
      </w:pPr>
      <w:r>
        <w:rPr>
          <w:rFonts w:hint="eastAsia" w:ascii="宋体" w:hAnsi="宋体"/>
          <w:color w:val="auto"/>
          <w:sz w:val="22"/>
          <w:szCs w:val="22"/>
          <w:highlight w:val="none"/>
        </w:rPr>
        <w:t>供应商需针对本项目所提供的产品的技术性能、质量水平、具体实施方案、售后服务、培训计划等做详尽的描述。</w:t>
      </w:r>
    </w:p>
    <w:p w14:paraId="41C65CE1">
      <w:pPr>
        <w:widowControl/>
        <w:numPr>
          <w:ilvl w:val="0"/>
          <w:numId w:val="2"/>
        </w:numPr>
        <w:spacing w:line="360" w:lineRule="exact"/>
        <w:rPr>
          <w:rFonts w:ascii="宋体" w:hAnsi="宋体"/>
          <w:b/>
          <w:color w:val="auto"/>
          <w:sz w:val="22"/>
          <w:szCs w:val="22"/>
          <w:highlight w:val="none"/>
        </w:rPr>
      </w:pPr>
      <w:r>
        <w:rPr>
          <w:rFonts w:hint="eastAsia" w:ascii="宋体" w:hAnsi="宋体"/>
          <w:b/>
          <w:color w:val="auto"/>
          <w:sz w:val="22"/>
          <w:szCs w:val="22"/>
          <w:highlight w:val="none"/>
        </w:rPr>
        <w:t>采购清单及要求</w:t>
      </w:r>
    </w:p>
    <w:p w14:paraId="24E183E3">
      <w:pPr>
        <w:tabs>
          <w:tab w:val="left" w:pos="525"/>
        </w:tabs>
        <w:autoSpaceDE w:val="0"/>
        <w:autoSpaceDN w:val="0"/>
        <w:adjustRightInd w:val="0"/>
        <w:snapToGrid w:val="0"/>
        <w:spacing w:line="360" w:lineRule="exact"/>
        <w:textAlignment w:val="bottom"/>
        <w:rPr>
          <w:rFonts w:ascii="宋体" w:hAnsi="宋体"/>
          <w:b/>
          <w:bCs/>
          <w:color w:val="auto"/>
          <w:sz w:val="22"/>
          <w:szCs w:val="22"/>
          <w:highlight w:val="none"/>
        </w:rPr>
      </w:pPr>
      <w:r>
        <w:rPr>
          <w:rFonts w:hint="eastAsia" w:ascii="宋体" w:hAnsi="宋体"/>
          <w:b/>
          <w:bCs/>
          <w:color w:val="auto"/>
          <w:sz w:val="22"/>
          <w:szCs w:val="22"/>
          <w:highlight w:val="none"/>
        </w:rPr>
        <w:t>1.采购清单</w:t>
      </w:r>
    </w:p>
    <w:tbl>
      <w:tblPr>
        <w:tblStyle w:val="6"/>
        <w:tblW w:w="4996" w:type="pct"/>
        <w:tblInd w:w="0" w:type="dxa"/>
        <w:tblLayout w:type="autofit"/>
        <w:tblCellMar>
          <w:top w:w="0" w:type="dxa"/>
          <w:left w:w="108" w:type="dxa"/>
          <w:bottom w:w="0" w:type="dxa"/>
          <w:right w:w="108" w:type="dxa"/>
        </w:tblCellMar>
      </w:tblPr>
      <w:tblGrid>
        <w:gridCol w:w="1655"/>
        <w:gridCol w:w="4029"/>
        <w:gridCol w:w="2831"/>
      </w:tblGrid>
      <w:tr w14:paraId="1860D60B">
        <w:tblPrEx>
          <w:tblCellMar>
            <w:top w:w="0" w:type="dxa"/>
            <w:left w:w="108" w:type="dxa"/>
            <w:bottom w:w="0" w:type="dxa"/>
            <w:right w:w="108" w:type="dxa"/>
          </w:tblCellMar>
        </w:tblPrEx>
        <w:trPr>
          <w:trHeight w:val="404" w:hRule="atLeast"/>
        </w:trPr>
        <w:tc>
          <w:tcPr>
            <w:tcW w:w="972" w:type="pct"/>
            <w:tcBorders>
              <w:top w:val="single" w:color="000000" w:sz="4" w:space="0"/>
              <w:left w:val="single" w:color="000000" w:sz="4" w:space="0"/>
              <w:bottom w:val="single" w:color="000000" w:sz="4" w:space="0"/>
              <w:right w:val="single" w:color="000000" w:sz="4" w:space="0"/>
            </w:tcBorders>
            <w:noWrap w:val="0"/>
            <w:vAlign w:val="center"/>
          </w:tcPr>
          <w:p w14:paraId="187A86F2">
            <w:pPr>
              <w:widowControl/>
              <w:spacing w:line="360" w:lineRule="exact"/>
              <w:jc w:val="center"/>
              <w:textAlignment w:val="center"/>
              <w:rPr>
                <w:rFonts w:ascii="宋体" w:hAnsi="宋体" w:cs="宋体"/>
                <w:b/>
                <w:bCs/>
                <w:color w:val="auto"/>
                <w:kern w:val="0"/>
                <w:sz w:val="22"/>
                <w:szCs w:val="22"/>
                <w:highlight w:val="none"/>
                <w:lang w:bidi="ar"/>
              </w:rPr>
            </w:pPr>
            <w:r>
              <w:rPr>
                <w:rFonts w:hint="eastAsia" w:ascii="宋体" w:hAnsi="宋体" w:cs="宋体"/>
                <w:b/>
                <w:bCs/>
                <w:color w:val="auto"/>
                <w:kern w:val="0"/>
                <w:sz w:val="22"/>
                <w:szCs w:val="22"/>
                <w:highlight w:val="none"/>
                <w:lang w:bidi="ar"/>
              </w:rPr>
              <w:t>序号</w:t>
            </w:r>
          </w:p>
        </w:tc>
        <w:tc>
          <w:tcPr>
            <w:tcW w:w="2365" w:type="pct"/>
            <w:tcBorders>
              <w:top w:val="single" w:color="000000" w:sz="4" w:space="0"/>
              <w:left w:val="single" w:color="000000" w:sz="4" w:space="0"/>
              <w:bottom w:val="single" w:color="000000" w:sz="4" w:space="0"/>
              <w:right w:val="single" w:color="000000" w:sz="4" w:space="0"/>
            </w:tcBorders>
            <w:noWrap w:val="0"/>
            <w:vAlign w:val="center"/>
          </w:tcPr>
          <w:p w14:paraId="2DD67987">
            <w:pPr>
              <w:widowControl/>
              <w:spacing w:line="360" w:lineRule="exact"/>
              <w:jc w:val="center"/>
              <w:textAlignment w:val="center"/>
              <w:rPr>
                <w:rFonts w:hint="eastAsia" w:ascii="宋体" w:hAnsi="宋体" w:cs="宋体"/>
                <w:b/>
                <w:bCs/>
                <w:color w:val="auto"/>
                <w:kern w:val="0"/>
                <w:sz w:val="22"/>
                <w:szCs w:val="22"/>
                <w:highlight w:val="none"/>
                <w:lang w:bidi="ar"/>
              </w:rPr>
            </w:pPr>
            <w:r>
              <w:rPr>
                <w:rFonts w:hint="eastAsia" w:ascii="宋体" w:hAnsi="宋体" w:cs="宋体"/>
                <w:b/>
                <w:bCs/>
                <w:color w:val="auto"/>
                <w:kern w:val="0"/>
                <w:sz w:val="22"/>
                <w:szCs w:val="22"/>
                <w:highlight w:val="none"/>
                <w:lang w:bidi="ar"/>
              </w:rPr>
              <w:t>名称</w:t>
            </w:r>
          </w:p>
        </w:tc>
        <w:tc>
          <w:tcPr>
            <w:tcW w:w="1662" w:type="pct"/>
            <w:tcBorders>
              <w:top w:val="single" w:color="000000" w:sz="4" w:space="0"/>
              <w:left w:val="single" w:color="000000" w:sz="4" w:space="0"/>
              <w:bottom w:val="single" w:color="000000" w:sz="4" w:space="0"/>
              <w:right w:val="single" w:color="000000" w:sz="4" w:space="0"/>
            </w:tcBorders>
            <w:noWrap w:val="0"/>
            <w:vAlign w:val="center"/>
          </w:tcPr>
          <w:p w14:paraId="4917FAAA">
            <w:pPr>
              <w:widowControl/>
              <w:spacing w:line="360" w:lineRule="exact"/>
              <w:jc w:val="center"/>
              <w:textAlignment w:val="center"/>
              <w:rPr>
                <w:rFonts w:hint="eastAsia" w:ascii="宋体" w:hAnsi="宋体" w:cs="宋体"/>
                <w:b/>
                <w:bCs/>
                <w:color w:val="auto"/>
                <w:kern w:val="0"/>
                <w:sz w:val="22"/>
                <w:szCs w:val="22"/>
                <w:highlight w:val="none"/>
                <w:lang w:bidi="ar"/>
              </w:rPr>
            </w:pPr>
            <w:r>
              <w:rPr>
                <w:rFonts w:hint="eastAsia" w:ascii="宋体" w:hAnsi="宋体" w:cs="宋体"/>
                <w:b/>
                <w:bCs/>
                <w:color w:val="auto"/>
                <w:kern w:val="0"/>
                <w:sz w:val="22"/>
                <w:szCs w:val="22"/>
                <w:highlight w:val="none"/>
                <w:lang w:bidi="ar"/>
              </w:rPr>
              <w:t>数量</w:t>
            </w:r>
          </w:p>
        </w:tc>
      </w:tr>
      <w:tr w14:paraId="2DA9908C">
        <w:tblPrEx>
          <w:tblCellMar>
            <w:top w:w="0" w:type="dxa"/>
            <w:left w:w="108" w:type="dxa"/>
            <w:bottom w:w="0" w:type="dxa"/>
            <w:right w:w="108" w:type="dxa"/>
          </w:tblCellMar>
        </w:tblPrEx>
        <w:trPr>
          <w:trHeight w:val="404" w:hRule="atLeast"/>
        </w:trPr>
        <w:tc>
          <w:tcPr>
            <w:tcW w:w="972" w:type="pct"/>
            <w:tcBorders>
              <w:top w:val="single" w:color="000000" w:sz="4" w:space="0"/>
              <w:left w:val="single" w:color="000000" w:sz="4" w:space="0"/>
              <w:bottom w:val="single" w:color="000000" w:sz="4" w:space="0"/>
              <w:right w:val="single" w:color="000000" w:sz="4" w:space="0"/>
            </w:tcBorders>
            <w:noWrap w:val="0"/>
            <w:vAlign w:val="center"/>
          </w:tcPr>
          <w:p w14:paraId="6800A000">
            <w:pPr>
              <w:widowControl/>
              <w:spacing w:line="360" w:lineRule="exact"/>
              <w:jc w:val="center"/>
              <w:textAlignment w:val="center"/>
              <w:rPr>
                <w:rFonts w:hint="eastAsia"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1</w:t>
            </w:r>
          </w:p>
        </w:tc>
        <w:tc>
          <w:tcPr>
            <w:tcW w:w="2365" w:type="pct"/>
            <w:tcBorders>
              <w:top w:val="single" w:color="000000" w:sz="4" w:space="0"/>
              <w:left w:val="single" w:color="000000" w:sz="4" w:space="0"/>
              <w:bottom w:val="single" w:color="000000" w:sz="4" w:space="0"/>
              <w:right w:val="single" w:color="000000" w:sz="4" w:space="0"/>
            </w:tcBorders>
            <w:noWrap w:val="0"/>
            <w:vAlign w:val="center"/>
          </w:tcPr>
          <w:p w14:paraId="32574A0A">
            <w:pPr>
              <w:widowControl/>
              <w:spacing w:line="360" w:lineRule="exact"/>
              <w:jc w:val="center"/>
              <w:textAlignment w:val="center"/>
              <w:rPr>
                <w:rFonts w:hint="eastAsia" w:ascii="宋体" w:hAnsi="宋体" w:cs="宋体"/>
                <w:color w:val="auto"/>
                <w:kern w:val="0"/>
                <w:sz w:val="22"/>
                <w:szCs w:val="22"/>
                <w:highlight w:val="none"/>
                <w:lang w:bidi="ar"/>
              </w:rPr>
            </w:pPr>
            <w:r>
              <w:rPr>
                <w:rFonts w:hint="eastAsia" w:ascii="宋体" w:hAnsi="宋体" w:cs="宋体"/>
                <w:color w:val="auto"/>
                <w:sz w:val="22"/>
                <w:highlight w:val="none"/>
              </w:rPr>
              <w:t>三维形貌测量系统硬件</w:t>
            </w:r>
          </w:p>
        </w:tc>
        <w:tc>
          <w:tcPr>
            <w:tcW w:w="1662" w:type="pct"/>
            <w:tcBorders>
              <w:top w:val="single" w:color="000000" w:sz="4" w:space="0"/>
              <w:left w:val="single" w:color="000000" w:sz="4" w:space="0"/>
              <w:bottom w:val="single" w:color="000000" w:sz="4" w:space="0"/>
              <w:right w:val="single" w:color="000000" w:sz="4" w:space="0"/>
            </w:tcBorders>
            <w:noWrap w:val="0"/>
            <w:vAlign w:val="center"/>
          </w:tcPr>
          <w:p w14:paraId="73133FA0">
            <w:pPr>
              <w:widowControl/>
              <w:spacing w:line="360" w:lineRule="exact"/>
              <w:jc w:val="center"/>
              <w:textAlignment w:val="center"/>
              <w:rPr>
                <w:rFonts w:ascii="宋体" w:hAnsi="宋体" w:cs="宋体"/>
                <w:color w:val="auto"/>
                <w:kern w:val="0"/>
                <w:sz w:val="22"/>
                <w:szCs w:val="22"/>
                <w:highlight w:val="none"/>
                <w:lang w:bidi="ar"/>
              </w:rPr>
            </w:pPr>
            <w:r>
              <w:rPr>
                <w:rFonts w:hint="eastAsia" w:hAnsi="宋体"/>
                <w:bCs/>
                <w:color w:val="auto"/>
                <w:szCs w:val="21"/>
                <w:highlight w:val="none"/>
              </w:rPr>
              <w:t>1套</w:t>
            </w:r>
          </w:p>
        </w:tc>
      </w:tr>
      <w:tr w14:paraId="3894506C">
        <w:tblPrEx>
          <w:tblCellMar>
            <w:top w:w="0" w:type="dxa"/>
            <w:left w:w="108" w:type="dxa"/>
            <w:bottom w:w="0" w:type="dxa"/>
            <w:right w:w="108" w:type="dxa"/>
          </w:tblCellMar>
        </w:tblPrEx>
        <w:trPr>
          <w:trHeight w:val="404" w:hRule="atLeast"/>
        </w:trPr>
        <w:tc>
          <w:tcPr>
            <w:tcW w:w="972" w:type="pct"/>
            <w:tcBorders>
              <w:top w:val="single" w:color="000000" w:sz="4" w:space="0"/>
              <w:left w:val="single" w:color="000000" w:sz="4" w:space="0"/>
              <w:bottom w:val="single" w:color="000000" w:sz="4" w:space="0"/>
              <w:right w:val="single" w:color="000000" w:sz="4" w:space="0"/>
            </w:tcBorders>
            <w:noWrap w:val="0"/>
            <w:vAlign w:val="center"/>
          </w:tcPr>
          <w:p w14:paraId="3A7003B1">
            <w:pPr>
              <w:widowControl/>
              <w:spacing w:line="36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2</w:t>
            </w:r>
          </w:p>
        </w:tc>
        <w:tc>
          <w:tcPr>
            <w:tcW w:w="2365" w:type="pct"/>
            <w:tcBorders>
              <w:top w:val="single" w:color="000000" w:sz="4" w:space="0"/>
              <w:left w:val="single" w:color="000000" w:sz="4" w:space="0"/>
              <w:bottom w:val="single" w:color="000000" w:sz="4" w:space="0"/>
              <w:right w:val="single" w:color="000000" w:sz="4" w:space="0"/>
            </w:tcBorders>
            <w:noWrap w:val="0"/>
            <w:vAlign w:val="center"/>
          </w:tcPr>
          <w:p w14:paraId="00FDF410">
            <w:pPr>
              <w:widowControl/>
              <w:spacing w:line="360" w:lineRule="exact"/>
              <w:jc w:val="center"/>
              <w:textAlignment w:val="center"/>
              <w:rPr>
                <w:rFonts w:hint="eastAsia" w:ascii="宋体" w:hAnsi="宋体" w:eastAsia="宋体"/>
                <w:color w:val="auto"/>
                <w:szCs w:val="21"/>
                <w:highlight w:val="none"/>
                <w:lang w:eastAsia="zh-CN"/>
              </w:rPr>
            </w:pPr>
            <w:r>
              <w:rPr>
                <w:rFonts w:hint="eastAsia"/>
                <w:color w:val="auto"/>
                <w:sz w:val="22"/>
                <w:highlight w:val="none"/>
              </w:rPr>
              <w:t>数据管理</w:t>
            </w:r>
            <w:r>
              <w:rPr>
                <w:rFonts w:hint="eastAsia"/>
                <w:color w:val="auto"/>
                <w:sz w:val="22"/>
                <w:highlight w:val="none"/>
                <w:lang w:eastAsia="zh-CN"/>
              </w:rPr>
              <w:t>软件</w:t>
            </w:r>
          </w:p>
        </w:tc>
        <w:tc>
          <w:tcPr>
            <w:tcW w:w="1662" w:type="pct"/>
            <w:tcBorders>
              <w:top w:val="single" w:color="000000" w:sz="4" w:space="0"/>
              <w:left w:val="single" w:color="000000" w:sz="4" w:space="0"/>
              <w:bottom w:val="single" w:color="000000" w:sz="4" w:space="0"/>
              <w:right w:val="single" w:color="000000" w:sz="4" w:space="0"/>
            </w:tcBorders>
            <w:noWrap w:val="0"/>
            <w:vAlign w:val="center"/>
          </w:tcPr>
          <w:p w14:paraId="54778537">
            <w:pPr>
              <w:widowControl/>
              <w:spacing w:line="360" w:lineRule="exact"/>
              <w:jc w:val="center"/>
              <w:textAlignment w:val="center"/>
              <w:rPr>
                <w:rFonts w:hint="eastAsia" w:ascii="宋体" w:hAnsi="宋体" w:cs="宋体"/>
                <w:color w:val="auto"/>
                <w:kern w:val="0"/>
                <w:sz w:val="22"/>
                <w:szCs w:val="22"/>
                <w:highlight w:val="none"/>
                <w:lang w:bidi="ar"/>
              </w:rPr>
            </w:pPr>
            <w:r>
              <w:rPr>
                <w:rFonts w:hint="eastAsia" w:hAnsi="宋体"/>
                <w:bCs/>
                <w:color w:val="auto"/>
                <w:szCs w:val="21"/>
                <w:highlight w:val="none"/>
              </w:rPr>
              <w:t>1套</w:t>
            </w:r>
          </w:p>
        </w:tc>
      </w:tr>
      <w:tr w14:paraId="68E9B975">
        <w:tblPrEx>
          <w:tblCellMar>
            <w:top w:w="0" w:type="dxa"/>
            <w:left w:w="108" w:type="dxa"/>
            <w:bottom w:w="0" w:type="dxa"/>
            <w:right w:w="108" w:type="dxa"/>
          </w:tblCellMar>
        </w:tblPrEx>
        <w:trPr>
          <w:trHeight w:val="404" w:hRule="atLeast"/>
        </w:trPr>
        <w:tc>
          <w:tcPr>
            <w:tcW w:w="972" w:type="pct"/>
            <w:tcBorders>
              <w:top w:val="single" w:color="000000" w:sz="4" w:space="0"/>
              <w:left w:val="single" w:color="000000" w:sz="4" w:space="0"/>
              <w:bottom w:val="single" w:color="000000" w:sz="4" w:space="0"/>
              <w:right w:val="single" w:color="000000" w:sz="4" w:space="0"/>
            </w:tcBorders>
            <w:noWrap w:val="0"/>
            <w:vAlign w:val="center"/>
          </w:tcPr>
          <w:p w14:paraId="7536FC82">
            <w:pPr>
              <w:widowControl/>
              <w:spacing w:line="360" w:lineRule="exact"/>
              <w:jc w:val="center"/>
              <w:textAlignment w:val="center"/>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3</w:t>
            </w:r>
          </w:p>
        </w:tc>
        <w:tc>
          <w:tcPr>
            <w:tcW w:w="2365" w:type="pct"/>
            <w:tcBorders>
              <w:top w:val="single" w:color="000000" w:sz="4" w:space="0"/>
              <w:left w:val="single" w:color="000000" w:sz="4" w:space="0"/>
              <w:bottom w:val="single" w:color="000000" w:sz="4" w:space="0"/>
              <w:right w:val="single" w:color="000000" w:sz="4" w:space="0"/>
            </w:tcBorders>
            <w:noWrap w:val="0"/>
            <w:vAlign w:val="center"/>
          </w:tcPr>
          <w:p w14:paraId="53508480">
            <w:pPr>
              <w:widowControl/>
              <w:spacing w:line="360" w:lineRule="exact"/>
              <w:jc w:val="center"/>
              <w:textAlignment w:val="center"/>
              <w:rPr>
                <w:rFonts w:hint="eastAsia" w:ascii="宋体" w:hAnsi="宋体" w:eastAsia="宋体"/>
                <w:color w:val="auto"/>
                <w:szCs w:val="21"/>
                <w:highlight w:val="none"/>
                <w:lang w:eastAsia="zh-CN"/>
              </w:rPr>
            </w:pPr>
            <w:r>
              <w:rPr>
                <w:rFonts w:hint="eastAsia" w:ascii="宋体" w:hAnsi="宋体"/>
                <w:color w:val="auto"/>
                <w:szCs w:val="21"/>
                <w:highlight w:val="none"/>
              </w:rPr>
              <w:t>点云数据处理</w:t>
            </w:r>
            <w:r>
              <w:rPr>
                <w:rFonts w:hint="eastAsia" w:ascii="宋体" w:hAnsi="宋体"/>
                <w:color w:val="auto"/>
                <w:szCs w:val="21"/>
                <w:highlight w:val="none"/>
                <w:lang w:eastAsia="zh-CN"/>
              </w:rPr>
              <w:t>软件</w:t>
            </w:r>
          </w:p>
        </w:tc>
        <w:tc>
          <w:tcPr>
            <w:tcW w:w="1662" w:type="pct"/>
            <w:tcBorders>
              <w:top w:val="single" w:color="000000" w:sz="4" w:space="0"/>
              <w:left w:val="single" w:color="000000" w:sz="4" w:space="0"/>
              <w:bottom w:val="single" w:color="000000" w:sz="4" w:space="0"/>
              <w:right w:val="single" w:color="000000" w:sz="4" w:space="0"/>
            </w:tcBorders>
            <w:noWrap w:val="0"/>
            <w:vAlign w:val="center"/>
          </w:tcPr>
          <w:p w14:paraId="7BAB0AF6">
            <w:pPr>
              <w:widowControl/>
              <w:spacing w:line="360" w:lineRule="exact"/>
              <w:jc w:val="center"/>
              <w:textAlignment w:val="center"/>
              <w:rPr>
                <w:rFonts w:hint="eastAsia" w:ascii="宋体" w:hAnsi="宋体" w:cs="宋体"/>
                <w:color w:val="auto"/>
                <w:kern w:val="0"/>
                <w:sz w:val="22"/>
                <w:szCs w:val="22"/>
                <w:highlight w:val="none"/>
                <w:lang w:bidi="ar"/>
              </w:rPr>
            </w:pPr>
            <w:r>
              <w:rPr>
                <w:rFonts w:hint="eastAsia" w:hAnsi="宋体"/>
                <w:bCs/>
                <w:color w:val="auto"/>
                <w:szCs w:val="21"/>
                <w:highlight w:val="none"/>
              </w:rPr>
              <w:t>1套</w:t>
            </w:r>
          </w:p>
        </w:tc>
      </w:tr>
    </w:tbl>
    <w:p w14:paraId="11B66707">
      <w:pPr>
        <w:tabs>
          <w:tab w:val="left" w:pos="525"/>
        </w:tabs>
        <w:autoSpaceDE w:val="0"/>
        <w:autoSpaceDN w:val="0"/>
        <w:adjustRightInd w:val="0"/>
        <w:snapToGrid w:val="0"/>
        <w:spacing w:line="360" w:lineRule="exact"/>
        <w:textAlignment w:val="bottom"/>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2.采购内容及具体技术要求：</w:t>
      </w:r>
    </w:p>
    <w:tbl>
      <w:tblPr>
        <w:tblStyle w:val="6"/>
        <w:tblW w:w="98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9"/>
        <w:gridCol w:w="1300"/>
        <w:gridCol w:w="7845"/>
      </w:tblGrid>
      <w:tr w14:paraId="70D28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noWrap w:val="0"/>
            <w:vAlign w:val="top"/>
          </w:tcPr>
          <w:p w14:paraId="4580F1A8">
            <w:pPr>
              <w:tabs>
                <w:tab w:val="left" w:pos="525"/>
              </w:tabs>
              <w:autoSpaceDE w:val="0"/>
              <w:autoSpaceDN w:val="0"/>
              <w:adjustRightInd w:val="0"/>
              <w:snapToGrid w:val="0"/>
              <w:spacing w:line="360" w:lineRule="exact"/>
              <w:jc w:val="center"/>
              <w:textAlignment w:val="bottom"/>
              <w:rPr>
                <w:rFonts w:ascii="宋体" w:hAnsi="宋体" w:cs="宋体"/>
                <w:b/>
                <w:bCs/>
                <w:color w:val="auto"/>
                <w:sz w:val="22"/>
                <w:szCs w:val="22"/>
                <w:highlight w:val="none"/>
              </w:rPr>
            </w:pPr>
            <w:r>
              <w:rPr>
                <w:rFonts w:hint="eastAsia" w:ascii="宋体" w:hAnsi="宋体" w:cs="宋体"/>
                <w:b/>
                <w:bCs/>
                <w:color w:val="auto"/>
                <w:sz w:val="22"/>
                <w:szCs w:val="22"/>
                <w:highlight w:val="none"/>
              </w:rPr>
              <w:t>序号</w:t>
            </w:r>
          </w:p>
        </w:tc>
        <w:tc>
          <w:tcPr>
            <w:tcW w:w="1300" w:type="dxa"/>
            <w:noWrap w:val="0"/>
            <w:vAlign w:val="top"/>
          </w:tcPr>
          <w:p w14:paraId="011A0AC5">
            <w:pPr>
              <w:tabs>
                <w:tab w:val="left" w:pos="525"/>
              </w:tabs>
              <w:autoSpaceDE w:val="0"/>
              <w:autoSpaceDN w:val="0"/>
              <w:adjustRightInd w:val="0"/>
              <w:snapToGrid w:val="0"/>
              <w:spacing w:line="360" w:lineRule="exact"/>
              <w:jc w:val="center"/>
              <w:textAlignment w:val="bottom"/>
              <w:rPr>
                <w:rFonts w:ascii="宋体" w:hAnsi="宋体" w:cs="宋体"/>
                <w:b/>
                <w:bCs/>
                <w:color w:val="auto"/>
                <w:sz w:val="22"/>
                <w:szCs w:val="22"/>
                <w:highlight w:val="none"/>
              </w:rPr>
            </w:pPr>
            <w:r>
              <w:rPr>
                <w:rFonts w:hint="eastAsia" w:ascii="宋体" w:hAnsi="宋体" w:cs="宋体"/>
                <w:b/>
                <w:bCs/>
                <w:color w:val="auto"/>
                <w:sz w:val="22"/>
                <w:szCs w:val="22"/>
                <w:highlight w:val="none"/>
              </w:rPr>
              <w:t>产品名称</w:t>
            </w:r>
          </w:p>
        </w:tc>
        <w:tc>
          <w:tcPr>
            <w:tcW w:w="7845" w:type="dxa"/>
            <w:noWrap w:val="0"/>
            <w:vAlign w:val="top"/>
          </w:tcPr>
          <w:p w14:paraId="653EBCED">
            <w:pPr>
              <w:tabs>
                <w:tab w:val="left" w:pos="525"/>
              </w:tabs>
              <w:autoSpaceDE w:val="0"/>
              <w:autoSpaceDN w:val="0"/>
              <w:adjustRightInd w:val="0"/>
              <w:snapToGrid w:val="0"/>
              <w:spacing w:line="360" w:lineRule="exact"/>
              <w:jc w:val="center"/>
              <w:textAlignment w:val="bottom"/>
              <w:rPr>
                <w:rFonts w:ascii="宋体" w:hAnsi="宋体" w:cs="宋体"/>
                <w:b/>
                <w:bCs/>
                <w:color w:val="auto"/>
                <w:sz w:val="22"/>
                <w:szCs w:val="22"/>
                <w:highlight w:val="none"/>
              </w:rPr>
            </w:pPr>
            <w:r>
              <w:rPr>
                <w:rFonts w:hint="eastAsia" w:ascii="宋体" w:hAnsi="宋体" w:cs="宋体"/>
                <w:b/>
                <w:bCs/>
                <w:color w:val="auto"/>
                <w:sz w:val="22"/>
                <w:szCs w:val="22"/>
                <w:highlight w:val="none"/>
              </w:rPr>
              <w:t>技术参数</w:t>
            </w:r>
          </w:p>
        </w:tc>
      </w:tr>
      <w:tr w14:paraId="3E86C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dxa"/>
            <w:noWrap w:val="0"/>
            <w:vAlign w:val="center"/>
          </w:tcPr>
          <w:p w14:paraId="719C2CED">
            <w:pPr>
              <w:tabs>
                <w:tab w:val="left" w:pos="525"/>
              </w:tabs>
              <w:autoSpaceDE w:val="0"/>
              <w:autoSpaceDN w:val="0"/>
              <w:adjustRightInd w:val="0"/>
              <w:snapToGrid w:val="0"/>
              <w:spacing w:line="360" w:lineRule="exact"/>
              <w:jc w:val="center"/>
              <w:textAlignment w:val="bottom"/>
              <w:rPr>
                <w:rFonts w:hint="eastAsia" w:ascii="宋体" w:hAnsi="宋体" w:cs="宋体"/>
                <w:b/>
                <w:bCs/>
                <w:color w:val="auto"/>
                <w:sz w:val="22"/>
                <w:szCs w:val="22"/>
                <w:highlight w:val="none"/>
              </w:rPr>
            </w:pPr>
            <w:r>
              <w:rPr>
                <w:rFonts w:hint="eastAsia" w:ascii="宋体" w:hAnsi="宋体" w:cs="宋体"/>
                <w:b/>
                <w:bCs/>
                <w:color w:val="auto"/>
                <w:sz w:val="22"/>
                <w:szCs w:val="22"/>
                <w:highlight w:val="none"/>
              </w:rPr>
              <w:t>1</w:t>
            </w:r>
          </w:p>
        </w:tc>
        <w:tc>
          <w:tcPr>
            <w:tcW w:w="1300" w:type="dxa"/>
            <w:noWrap w:val="0"/>
            <w:vAlign w:val="center"/>
          </w:tcPr>
          <w:p w14:paraId="4B9ABE2A">
            <w:pPr>
              <w:tabs>
                <w:tab w:val="left" w:pos="525"/>
              </w:tabs>
              <w:autoSpaceDE w:val="0"/>
              <w:autoSpaceDN w:val="0"/>
              <w:adjustRightInd w:val="0"/>
              <w:snapToGrid w:val="0"/>
              <w:spacing w:line="360" w:lineRule="exact"/>
              <w:jc w:val="center"/>
              <w:textAlignment w:val="bottom"/>
              <w:rPr>
                <w:rFonts w:hint="eastAsia" w:ascii="宋体" w:hAnsi="宋体" w:cs="宋体"/>
                <w:color w:val="auto"/>
                <w:kern w:val="0"/>
                <w:sz w:val="22"/>
                <w:szCs w:val="22"/>
                <w:highlight w:val="none"/>
                <w:lang w:bidi="ar"/>
              </w:rPr>
            </w:pPr>
            <w:r>
              <w:rPr>
                <w:rFonts w:hint="eastAsia"/>
                <w:b/>
                <w:color w:val="auto"/>
                <w:szCs w:val="21"/>
                <w:highlight w:val="none"/>
              </w:rPr>
              <w:t>主要设备技术参数</w:t>
            </w:r>
          </w:p>
        </w:tc>
        <w:tc>
          <w:tcPr>
            <w:tcW w:w="7845" w:type="dxa"/>
            <w:noWrap w:val="0"/>
            <w:vAlign w:val="top"/>
          </w:tcPr>
          <w:p w14:paraId="6DCD48BF">
            <w:pPr>
              <w:pStyle w:val="3"/>
              <w:ind w:firstLine="440" w:firstLineChars="200"/>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1、</w:t>
            </w:r>
            <w:r>
              <w:rPr>
                <w:rFonts w:ascii="宋体" w:hAnsi="宋体" w:cs="宋体"/>
                <w:color w:val="auto"/>
                <w:kern w:val="0"/>
                <w:sz w:val="22"/>
                <w:szCs w:val="22"/>
                <w:highlight w:val="none"/>
                <w:lang w:bidi="ar"/>
              </w:rPr>
              <w:t>硬件部分</w:t>
            </w:r>
          </w:p>
          <w:p w14:paraId="0C4A5A98">
            <w:pPr>
              <w:pStyle w:val="3"/>
              <w:ind w:firstLine="440" w:firstLineChars="200"/>
              <w:rPr>
                <w:rFonts w:ascii="宋体" w:hAnsi="宋体" w:cs="宋体"/>
                <w:color w:val="auto"/>
                <w:kern w:val="0"/>
                <w:sz w:val="22"/>
                <w:szCs w:val="22"/>
                <w:highlight w:val="none"/>
                <w:u w:val="single"/>
                <w:lang w:bidi="ar"/>
              </w:rPr>
            </w:pPr>
            <w:r>
              <w:rPr>
                <w:rFonts w:ascii="宋体" w:hAnsi="宋体" w:cs="宋体"/>
                <w:color w:val="auto"/>
                <w:kern w:val="0"/>
                <w:sz w:val="22"/>
                <w:szCs w:val="22"/>
                <w:highlight w:val="none"/>
                <w:u w:val="single"/>
                <w:lang w:bidi="ar"/>
              </w:rPr>
              <w:t>★</w:t>
            </w:r>
            <w:r>
              <w:rPr>
                <w:rFonts w:hint="eastAsia" w:ascii="宋体" w:hAnsi="宋体" w:cs="宋体"/>
                <w:color w:val="auto"/>
                <w:kern w:val="0"/>
                <w:sz w:val="22"/>
                <w:szCs w:val="22"/>
                <w:highlight w:val="none"/>
                <w:u w:val="single"/>
                <w:lang w:bidi="ar"/>
              </w:rPr>
              <w:t>1.</w:t>
            </w:r>
            <w:r>
              <w:rPr>
                <w:rFonts w:ascii="宋体" w:hAnsi="宋体" w:cs="宋体"/>
                <w:color w:val="auto"/>
                <w:kern w:val="0"/>
                <w:sz w:val="22"/>
                <w:szCs w:val="22"/>
                <w:highlight w:val="none"/>
                <w:u w:val="single"/>
                <w:lang w:bidi="ar"/>
              </w:rPr>
              <w:t>1、扫描范围：最小距离≤0.5m；最大距离≥150m</w:t>
            </w:r>
            <w:r>
              <w:rPr>
                <w:rFonts w:hint="eastAsia" w:ascii="宋体" w:hAnsi="宋体" w:cs="宋体"/>
                <w:color w:val="auto"/>
                <w:kern w:val="0"/>
                <w:sz w:val="22"/>
                <w:szCs w:val="22"/>
                <w:highlight w:val="none"/>
                <w:u w:val="single"/>
                <w:lang w:bidi="ar"/>
              </w:rPr>
              <w:t>。</w:t>
            </w:r>
          </w:p>
          <w:p w14:paraId="37A01113">
            <w:pPr>
              <w:pStyle w:val="3"/>
              <w:ind w:firstLine="440" w:firstLineChars="200"/>
              <w:rPr>
                <w:rFonts w:ascii="宋体" w:hAnsi="宋体" w:cs="宋体"/>
                <w:color w:val="auto"/>
                <w:kern w:val="0"/>
                <w:sz w:val="22"/>
                <w:szCs w:val="22"/>
                <w:highlight w:val="none"/>
                <w:u w:val="single"/>
                <w:lang w:bidi="ar"/>
              </w:rPr>
            </w:pPr>
            <w:r>
              <w:rPr>
                <w:rFonts w:ascii="宋体" w:hAnsi="宋体" w:cs="宋体"/>
                <w:color w:val="auto"/>
                <w:kern w:val="0"/>
                <w:sz w:val="22"/>
                <w:szCs w:val="22"/>
                <w:highlight w:val="none"/>
                <w:u w:val="single"/>
                <w:lang w:bidi="ar"/>
              </w:rPr>
              <w:t>★</w:t>
            </w:r>
            <w:r>
              <w:rPr>
                <w:rFonts w:hint="eastAsia" w:ascii="宋体" w:hAnsi="宋体" w:cs="宋体"/>
                <w:color w:val="auto"/>
                <w:kern w:val="0"/>
                <w:sz w:val="22"/>
                <w:szCs w:val="22"/>
                <w:highlight w:val="none"/>
                <w:u w:val="single"/>
                <w:lang w:bidi="ar"/>
              </w:rPr>
              <w:t>1.</w:t>
            </w:r>
            <w:r>
              <w:rPr>
                <w:rFonts w:ascii="宋体" w:hAnsi="宋体" w:cs="宋体"/>
                <w:color w:val="auto"/>
                <w:kern w:val="0"/>
                <w:sz w:val="22"/>
                <w:szCs w:val="22"/>
                <w:highlight w:val="none"/>
                <w:u w:val="single"/>
                <w:lang w:bidi="ar"/>
              </w:rPr>
              <w:t>2、视场角（每次扫描）：水平方向360°角，垂直方向不小于 300°角</w:t>
            </w:r>
            <w:r>
              <w:rPr>
                <w:rFonts w:hint="eastAsia" w:ascii="宋体" w:hAnsi="宋体" w:cs="宋体"/>
                <w:color w:val="auto"/>
                <w:kern w:val="0"/>
                <w:sz w:val="22"/>
                <w:szCs w:val="22"/>
                <w:highlight w:val="none"/>
                <w:u w:val="single"/>
                <w:lang w:bidi="ar"/>
              </w:rPr>
              <w:t>。</w:t>
            </w:r>
          </w:p>
          <w:p w14:paraId="0258069D">
            <w:pPr>
              <w:pStyle w:val="3"/>
              <w:ind w:firstLine="440" w:firstLineChars="200"/>
              <w:rPr>
                <w:rFonts w:ascii="宋体" w:hAnsi="宋体" w:cs="宋体"/>
                <w:color w:val="auto"/>
                <w:kern w:val="0"/>
                <w:sz w:val="22"/>
                <w:szCs w:val="22"/>
                <w:highlight w:val="none"/>
                <w:u w:val="single"/>
                <w:lang w:bidi="ar"/>
              </w:rPr>
            </w:pPr>
            <w:r>
              <w:rPr>
                <w:rFonts w:ascii="宋体" w:hAnsi="宋体" w:cs="宋体"/>
                <w:color w:val="auto"/>
                <w:kern w:val="0"/>
                <w:sz w:val="22"/>
                <w:szCs w:val="22"/>
                <w:highlight w:val="none"/>
                <w:u w:val="single"/>
                <w:lang w:bidi="ar"/>
              </w:rPr>
              <w:t>★</w:t>
            </w:r>
            <w:r>
              <w:rPr>
                <w:rFonts w:hint="eastAsia" w:ascii="宋体" w:hAnsi="宋体" w:cs="宋体"/>
                <w:color w:val="auto"/>
                <w:kern w:val="0"/>
                <w:sz w:val="22"/>
                <w:szCs w:val="22"/>
                <w:highlight w:val="none"/>
                <w:u w:val="single"/>
                <w:lang w:bidi="ar"/>
              </w:rPr>
              <w:t>1.</w:t>
            </w:r>
            <w:r>
              <w:rPr>
                <w:rFonts w:ascii="宋体" w:hAnsi="宋体" w:cs="宋体"/>
                <w:color w:val="auto"/>
                <w:kern w:val="0"/>
                <w:sz w:val="22"/>
                <w:szCs w:val="22"/>
                <w:highlight w:val="none"/>
                <w:u w:val="single"/>
                <w:lang w:bidi="ar"/>
              </w:rPr>
              <w:t>3、测距精度：测距精度不低于 1mm±10ppm</w:t>
            </w:r>
            <w:r>
              <w:rPr>
                <w:rFonts w:hint="eastAsia" w:ascii="宋体" w:hAnsi="宋体" w:cs="宋体"/>
                <w:color w:val="auto"/>
                <w:kern w:val="0"/>
                <w:sz w:val="22"/>
                <w:szCs w:val="22"/>
                <w:highlight w:val="none"/>
                <w:u w:val="single"/>
                <w:lang w:bidi="ar"/>
              </w:rPr>
              <w:t>。</w:t>
            </w:r>
          </w:p>
          <w:p w14:paraId="7B894D4D">
            <w:pPr>
              <w:pStyle w:val="3"/>
              <w:ind w:firstLine="440" w:firstLineChars="200"/>
              <w:rPr>
                <w:rFonts w:ascii="宋体" w:hAnsi="宋体" w:cs="宋体"/>
                <w:color w:val="auto"/>
                <w:kern w:val="0"/>
                <w:sz w:val="22"/>
                <w:szCs w:val="22"/>
                <w:highlight w:val="none"/>
                <w:u w:val="single"/>
                <w:lang w:bidi="ar"/>
              </w:rPr>
            </w:pPr>
            <w:r>
              <w:rPr>
                <w:rFonts w:ascii="宋体" w:hAnsi="宋体" w:cs="宋体"/>
                <w:color w:val="auto"/>
                <w:kern w:val="0"/>
                <w:sz w:val="22"/>
                <w:szCs w:val="22"/>
                <w:highlight w:val="none"/>
                <w:u w:val="single"/>
                <w:lang w:bidi="ar"/>
              </w:rPr>
              <w:t>▲</w:t>
            </w:r>
            <w:r>
              <w:rPr>
                <w:rFonts w:hint="eastAsia" w:ascii="宋体" w:hAnsi="宋体" w:cs="宋体"/>
                <w:color w:val="auto"/>
                <w:kern w:val="0"/>
                <w:sz w:val="22"/>
                <w:szCs w:val="22"/>
                <w:highlight w:val="none"/>
                <w:u w:val="single"/>
                <w:lang w:bidi="ar"/>
              </w:rPr>
              <w:t>1.</w:t>
            </w:r>
            <w:r>
              <w:rPr>
                <w:rFonts w:ascii="宋体" w:hAnsi="宋体" w:cs="宋体"/>
                <w:color w:val="auto"/>
                <w:kern w:val="0"/>
                <w:sz w:val="22"/>
                <w:szCs w:val="22"/>
                <w:highlight w:val="none"/>
                <w:u w:val="single"/>
                <w:lang w:bidi="ar"/>
              </w:rPr>
              <w:t>4、测角精度：精度不低于14.4"</w:t>
            </w:r>
            <w:r>
              <w:rPr>
                <w:rFonts w:hint="eastAsia" w:ascii="宋体" w:hAnsi="宋体" w:cs="宋体"/>
                <w:color w:val="auto"/>
                <w:kern w:val="0"/>
                <w:sz w:val="22"/>
                <w:szCs w:val="22"/>
                <w:highlight w:val="none"/>
                <w:u w:val="single"/>
                <w:lang w:bidi="ar"/>
              </w:rPr>
              <w:t>。</w:t>
            </w:r>
          </w:p>
          <w:p w14:paraId="5E52543C">
            <w:pPr>
              <w:pStyle w:val="3"/>
              <w:ind w:firstLine="440" w:firstLineChars="200"/>
              <w:rPr>
                <w:rFonts w:ascii="宋体" w:hAnsi="宋体" w:cs="宋体"/>
                <w:color w:val="auto"/>
                <w:kern w:val="0"/>
                <w:sz w:val="22"/>
                <w:szCs w:val="22"/>
                <w:highlight w:val="none"/>
                <w:u w:val="single"/>
                <w:lang w:bidi="ar"/>
              </w:rPr>
            </w:pPr>
            <w:r>
              <w:rPr>
                <w:rFonts w:ascii="宋体" w:hAnsi="宋体" w:cs="宋体"/>
                <w:color w:val="auto"/>
                <w:kern w:val="0"/>
                <w:sz w:val="22"/>
                <w:szCs w:val="22"/>
                <w:highlight w:val="none"/>
                <w:u w:val="single"/>
                <w:lang w:bidi="ar"/>
              </w:rPr>
              <w:t>★</w:t>
            </w:r>
            <w:r>
              <w:rPr>
                <w:rFonts w:hint="eastAsia" w:ascii="宋体" w:hAnsi="宋体" w:cs="宋体"/>
                <w:color w:val="auto"/>
                <w:kern w:val="0"/>
                <w:sz w:val="22"/>
                <w:szCs w:val="22"/>
                <w:highlight w:val="none"/>
                <w:u w:val="single"/>
                <w:lang w:bidi="ar"/>
              </w:rPr>
              <w:t>1.</w:t>
            </w:r>
            <w:r>
              <w:rPr>
                <w:rFonts w:ascii="宋体" w:hAnsi="宋体" w:cs="宋体"/>
                <w:color w:val="auto"/>
                <w:kern w:val="0"/>
                <w:sz w:val="22"/>
                <w:szCs w:val="22"/>
                <w:highlight w:val="none"/>
                <w:u w:val="single"/>
                <w:lang w:bidi="ar"/>
              </w:rPr>
              <w:t>5、点位精度：不低于 1.5mm @ 10m</w:t>
            </w:r>
            <w:r>
              <w:rPr>
                <w:rFonts w:hint="eastAsia" w:ascii="宋体" w:hAnsi="宋体" w:cs="宋体"/>
                <w:color w:val="auto"/>
                <w:kern w:val="0"/>
                <w:sz w:val="22"/>
                <w:szCs w:val="22"/>
                <w:highlight w:val="none"/>
                <w:u w:val="single"/>
                <w:lang w:bidi="ar"/>
              </w:rPr>
              <w:t>。</w:t>
            </w:r>
          </w:p>
          <w:p w14:paraId="749CECEC">
            <w:pPr>
              <w:pStyle w:val="3"/>
              <w:ind w:firstLine="440" w:firstLineChars="200"/>
              <w:rPr>
                <w:rFonts w:ascii="宋体" w:hAnsi="宋体" w:cs="宋体"/>
                <w:color w:val="auto"/>
                <w:kern w:val="0"/>
                <w:sz w:val="22"/>
                <w:szCs w:val="22"/>
                <w:highlight w:val="none"/>
                <w:u w:val="single"/>
                <w:lang w:bidi="ar"/>
              </w:rPr>
            </w:pPr>
            <w:r>
              <w:rPr>
                <w:rFonts w:ascii="宋体" w:hAnsi="宋体" w:cs="宋体"/>
                <w:color w:val="auto"/>
                <w:kern w:val="0"/>
                <w:sz w:val="22"/>
                <w:szCs w:val="22"/>
                <w:highlight w:val="none"/>
                <w:u w:val="single"/>
                <w:lang w:bidi="ar"/>
              </w:rPr>
              <w:t>★</w:t>
            </w:r>
            <w:r>
              <w:rPr>
                <w:rFonts w:hint="eastAsia" w:ascii="宋体" w:hAnsi="宋体" w:cs="宋体"/>
                <w:color w:val="auto"/>
                <w:kern w:val="0"/>
                <w:sz w:val="22"/>
                <w:szCs w:val="22"/>
                <w:highlight w:val="none"/>
                <w:u w:val="single"/>
                <w:lang w:bidi="ar"/>
              </w:rPr>
              <w:t>1.</w:t>
            </w:r>
            <w:r>
              <w:rPr>
                <w:rFonts w:ascii="宋体" w:hAnsi="宋体" w:cs="宋体"/>
                <w:color w:val="auto"/>
                <w:kern w:val="0"/>
                <w:sz w:val="22"/>
                <w:szCs w:val="22"/>
                <w:highlight w:val="none"/>
                <w:u w:val="single"/>
                <w:lang w:bidi="ar"/>
              </w:rPr>
              <w:t>6、噪音精度：不低于 0.4mm @ 10m</w:t>
            </w:r>
            <w:r>
              <w:rPr>
                <w:rFonts w:hint="eastAsia" w:ascii="宋体" w:hAnsi="宋体" w:cs="宋体"/>
                <w:color w:val="auto"/>
                <w:kern w:val="0"/>
                <w:sz w:val="22"/>
                <w:szCs w:val="22"/>
                <w:highlight w:val="none"/>
                <w:u w:val="single"/>
                <w:lang w:bidi="ar"/>
              </w:rPr>
              <w:t>。</w:t>
            </w:r>
          </w:p>
          <w:p w14:paraId="176303F8">
            <w:pPr>
              <w:pStyle w:val="3"/>
              <w:ind w:firstLine="440" w:firstLineChars="200"/>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1.</w:t>
            </w:r>
            <w:r>
              <w:rPr>
                <w:rFonts w:ascii="宋体" w:hAnsi="宋体" w:cs="宋体"/>
                <w:color w:val="auto"/>
                <w:kern w:val="0"/>
                <w:sz w:val="22"/>
                <w:szCs w:val="22"/>
                <w:highlight w:val="none"/>
                <w:lang w:bidi="ar"/>
              </w:rPr>
              <w:t>7、工作温度-5℃～40℃；储存温度-40℃～70℃；白天、夜晚均可工作</w:t>
            </w:r>
            <w:r>
              <w:rPr>
                <w:rFonts w:hint="eastAsia" w:ascii="宋体" w:hAnsi="宋体" w:cs="宋体"/>
                <w:color w:val="auto"/>
                <w:kern w:val="0"/>
                <w:sz w:val="22"/>
                <w:szCs w:val="22"/>
                <w:highlight w:val="none"/>
                <w:lang w:bidi="ar"/>
              </w:rPr>
              <w:t>。</w:t>
            </w:r>
          </w:p>
          <w:p w14:paraId="5CFACBDF">
            <w:pPr>
              <w:pStyle w:val="3"/>
              <w:ind w:firstLine="440" w:firstLineChars="200"/>
              <w:rPr>
                <w:rFonts w:hint="eastAsia" w:ascii="宋体" w:hAnsi="宋体" w:cs="宋体"/>
                <w:color w:val="auto"/>
                <w:kern w:val="0"/>
                <w:sz w:val="22"/>
                <w:szCs w:val="22"/>
                <w:highlight w:val="none"/>
                <w:u w:val="single"/>
                <w:lang w:bidi="ar"/>
              </w:rPr>
            </w:pPr>
            <w:r>
              <w:rPr>
                <w:rFonts w:ascii="宋体" w:hAnsi="宋体" w:cs="宋体"/>
                <w:color w:val="auto"/>
                <w:kern w:val="0"/>
                <w:sz w:val="22"/>
                <w:szCs w:val="22"/>
                <w:highlight w:val="none"/>
                <w:u w:val="single"/>
                <w:lang w:bidi="ar"/>
              </w:rPr>
              <w:t>▲</w:t>
            </w:r>
            <w:r>
              <w:rPr>
                <w:rFonts w:hint="eastAsia" w:ascii="宋体" w:hAnsi="宋体" w:cs="宋体"/>
                <w:color w:val="auto"/>
                <w:kern w:val="0"/>
                <w:sz w:val="22"/>
                <w:szCs w:val="22"/>
                <w:highlight w:val="none"/>
                <w:u w:val="single"/>
                <w:lang w:bidi="ar"/>
              </w:rPr>
              <w:t>1.</w:t>
            </w:r>
            <w:r>
              <w:rPr>
                <w:rFonts w:ascii="宋体" w:hAnsi="宋体" w:cs="宋体"/>
                <w:color w:val="auto"/>
                <w:kern w:val="0"/>
                <w:sz w:val="22"/>
                <w:szCs w:val="22"/>
                <w:highlight w:val="none"/>
                <w:u w:val="single"/>
                <w:lang w:bidi="ar"/>
              </w:rPr>
              <w:t>8、最大扫描速率≥1,000,000 点/秒</w:t>
            </w:r>
            <w:r>
              <w:rPr>
                <w:rFonts w:hint="eastAsia" w:ascii="宋体" w:hAnsi="宋体" w:cs="宋体"/>
                <w:color w:val="auto"/>
                <w:kern w:val="0"/>
                <w:sz w:val="22"/>
                <w:szCs w:val="22"/>
                <w:highlight w:val="none"/>
                <w:u w:val="single"/>
                <w:lang w:bidi="ar"/>
              </w:rPr>
              <w:t>。</w:t>
            </w:r>
          </w:p>
          <w:p w14:paraId="335CEC9D">
            <w:pPr>
              <w:pStyle w:val="3"/>
              <w:ind w:firstLine="440" w:firstLineChars="200"/>
              <w:rPr>
                <w:rFonts w:ascii="宋体" w:hAnsi="宋体" w:cs="宋体"/>
                <w:color w:val="auto"/>
                <w:kern w:val="0"/>
                <w:sz w:val="22"/>
                <w:szCs w:val="22"/>
                <w:highlight w:val="none"/>
                <w:u w:val="single"/>
                <w:lang w:bidi="ar"/>
              </w:rPr>
            </w:pPr>
            <w:r>
              <w:rPr>
                <w:rFonts w:ascii="宋体" w:hAnsi="宋体" w:cs="宋体"/>
                <w:color w:val="auto"/>
                <w:kern w:val="0"/>
                <w:sz w:val="22"/>
                <w:szCs w:val="22"/>
                <w:highlight w:val="none"/>
                <w:u w:val="single"/>
                <w:lang w:bidi="ar"/>
              </w:rPr>
              <w:t>★</w:t>
            </w:r>
            <w:r>
              <w:rPr>
                <w:rFonts w:hint="eastAsia" w:ascii="宋体" w:hAnsi="宋体" w:cs="宋体"/>
                <w:color w:val="auto"/>
                <w:kern w:val="0"/>
                <w:sz w:val="22"/>
                <w:szCs w:val="22"/>
                <w:highlight w:val="none"/>
                <w:u w:val="single"/>
                <w:lang w:bidi="ar"/>
              </w:rPr>
              <w:t>1.</w:t>
            </w:r>
            <w:r>
              <w:rPr>
                <w:rFonts w:ascii="宋体" w:hAnsi="宋体" w:cs="宋体"/>
                <w:color w:val="auto"/>
                <w:kern w:val="0"/>
                <w:sz w:val="22"/>
                <w:szCs w:val="22"/>
                <w:highlight w:val="none"/>
                <w:u w:val="single"/>
                <w:lang w:bidi="ar"/>
              </w:rPr>
              <w:t>9、单站扫描+拍照用时最快小于2分钟</w:t>
            </w:r>
            <w:r>
              <w:rPr>
                <w:rFonts w:hint="eastAsia" w:ascii="宋体" w:hAnsi="宋体" w:cs="宋体"/>
                <w:color w:val="auto"/>
                <w:kern w:val="0"/>
                <w:sz w:val="22"/>
                <w:szCs w:val="22"/>
                <w:highlight w:val="none"/>
                <w:u w:val="single"/>
                <w:lang w:bidi="ar"/>
              </w:rPr>
              <w:t>。</w:t>
            </w:r>
          </w:p>
          <w:p w14:paraId="0DD491F9">
            <w:pPr>
              <w:pStyle w:val="3"/>
              <w:ind w:firstLine="440" w:firstLineChars="200"/>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1.</w:t>
            </w:r>
            <w:r>
              <w:rPr>
                <w:rFonts w:ascii="宋体" w:hAnsi="宋体" w:cs="宋体"/>
                <w:color w:val="auto"/>
                <w:kern w:val="0"/>
                <w:sz w:val="22"/>
                <w:szCs w:val="22"/>
                <w:highlight w:val="none"/>
                <w:lang w:bidi="ar"/>
              </w:rPr>
              <w:t>10、配套有专用背包方便设备携带，全套设备（含附件）重量小于8kg</w:t>
            </w:r>
            <w:r>
              <w:rPr>
                <w:rFonts w:hint="eastAsia" w:ascii="宋体" w:hAnsi="宋体" w:cs="宋体"/>
                <w:color w:val="auto"/>
                <w:kern w:val="0"/>
                <w:sz w:val="22"/>
                <w:szCs w:val="22"/>
                <w:highlight w:val="none"/>
                <w:lang w:bidi="ar"/>
              </w:rPr>
              <w:t>。</w:t>
            </w:r>
          </w:p>
          <w:p w14:paraId="3AC0C7F0">
            <w:pPr>
              <w:pStyle w:val="3"/>
              <w:ind w:firstLine="440" w:firstLineChars="200"/>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1.</w:t>
            </w:r>
            <w:r>
              <w:rPr>
                <w:rFonts w:ascii="宋体" w:hAnsi="宋体" w:cs="宋体"/>
                <w:color w:val="auto"/>
                <w:kern w:val="0"/>
                <w:sz w:val="22"/>
                <w:szCs w:val="22"/>
                <w:highlight w:val="none"/>
                <w:lang w:bidi="ar"/>
              </w:rPr>
              <w:t>11、内置 3个HDR相机：单相机1200万像素，全景像素4.32亿</w:t>
            </w:r>
            <w:r>
              <w:rPr>
                <w:rFonts w:hint="eastAsia" w:ascii="宋体" w:hAnsi="宋体" w:cs="宋体"/>
                <w:color w:val="auto"/>
                <w:kern w:val="0"/>
                <w:sz w:val="22"/>
                <w:szCs w:val="22"/>
                <w:highlight w:val="none"/>
                <w:lang w:bidi="ar"/>
              </w:rPr>
              <w:t>。</w:t>
            </w:r>
          </w:p>
          <w:p w14:paraId="1232D964">
            <w:pPr>
              <w:pStyle w:val="3"/>
              <w:ind w:firstLine="440" w:firstLineChars="200"/>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1.</w:t>
            </w:r>
            <w:r>
              <w:rPr>
                <w:rFonts w:ascii="宋体" w:hAnsi="宋体" w:cs="宋体"/>
                <w:color w:val="auto"/>
                <w:kern w:val="0"/>
                <w:sz w:val="22"/>
                <w:szCs w:val="22"/>
                <w:highlight w:val="none"/>
                <w:lang w:bidi="ar"/>
              </w:rPr>
              <w:t>12、使用可插拔的工业级闪存驱动器，单驱动器数据存储容量不小于 256GB。内置两块锂电池，电池持续供电时间不小于4小时，支持热插拔功能</w:t>
            </w:r>
            <w:r>
              <w:rPr>
                <w:rFonts w:hint="eastAsia" w:ascii="宋体" w:hAnsi="宋体" w:cs="宋体"/>
                <w:color w:val="auto"/>
                <w:kern w:val="0"/>
                <w:sz w:val="22"/>
                <w:szCs w:val="22"/>
                <w:highlight w:val="none"/>
                <w:lang w:bidi="ar"/>
              </w:rPr>
              <w:t>。</w:t>
            </w:r>
          </w:p>
          <w:p w14:paraId="54E5E82A">
            <w:pPr>
              <w:pStyle w:val="3"/>
              <w:ind w:firstLine="440" w:firstLineChars="200"/>
              <w:rPr>
                <w:rFonts w:ascii="宋体" w:hAnsi="宋体" w:cs="宋体"/>
                <w:color w:val="auto"/>
                <w:kern w:val="0"/>
                <w:sz w:val="22"/>
                <w:szCs w:val="22"/>
                <w:highlight w:val="none"/>
                <w:u w:val="single"/>
                <w:lang w:bidi="ar"/>
              </w:rPr>
            </w:pPr>
            <w:r>
              <w:rPr>
                <w:rFonts w:ascii="宋体" w:hAnsi="宋体" w:cs="宋体"/>
                <w:color w:val="auto"/>
                <w:kern w:val="0"/>
                <w:sz w:val="22"/>
                <w:szCs w:val="22"/>
                <w:highlight w:val="none"/>
                <w:u w:val="single"/>
                <w:lang w:bidi="ar"/>
              </w:rPr>
              <w:t>★</w:t>
            </w:r>
            <w:r>
              <w:rPr>
                <w:rFonts w:hint="eastAsia" w:ascii="宋体" w:hAnsi="宋体" w:cs="宋体"/>
                <w:color w:val="auto"/>
                <w:kern w:val="0"/>
                <w:sz w:val="22"/>
                <w:szCs w:val="22"/>
                <w:highlight w:val="none"/>
                <w:u w:val="single"/>
                <w:lang w:bidi="ar"/>
              </w:rPr>
              <w:t>1.</w:t>
            </w:r>
            <w:r>
              <w:rPr>
                <w:rFonts w:ascii="宋体" w:hAnsi="宋体" w:cs="宋体"/>
                <w:color w:val="auto"/>
                <w:kern w:val="0"/>
                <w:sz w:val="22"/>
                <w:szCs w:val="22"/>
                <w:highlight w:val="none"/>
                <w:u w:val="single"/>
                <w:lang w:bidi="ar"/>
              </w:rPr>
              <w:t>13、机载传感配置: 内置高度计、IMU、GPS，操作界面：支持彩色触摸屏</w:t>
            </w:r>
            <w:r>
              <w:rPr>
                <w:rFonts w:hint="eastAsia" w:ascii="宋体" w:hAnsi="宋体" w:cs="宋体"/>
                <w:color w:val="auto"/>
                <w:kern w:val="0"/>
                <w:sz w:val="22"/>
                <w:szCs w:val="22"/>
                <w:highlight w:val="none"/>
                <w:u w:val="single"/>
                <w:lang w:bidi="ar"/>
              </w:rPr>
              <w:t>。</w:t>
            </w:r>
          </w:p>
          <w:p w14:paraId="07133A56">
            <w:pPr>
              <w:pStyle w:val="3"/>
              <w:ind w:firstLine="440" w:firstLineChars="200"/>
              <w:rPr>
                <w:rFonts w:ascii="宋体" w:hAnsi="宋体" w:cs="宋体"/>
                <w:color w:val="auto"/>
                <w:kern w:val="0"/>
                <w:sz w:val="22"/>
                <w:szCs w:val="22"/>
                <w:highlight w:val="none"/>
                <w:u w:val="single"/>
                <w:lang w:bidi="ar"/>
              </w:rPr>
            </w:pPr>
            <w:r>
              <w:rPr>
                <w:rFonts w:ascii="宋体" w:hAnsi="宋体" w:cs="宋体"/>
                <w:color w:val="auto"/>
                <w:kern w:val="0"/>
                <w:sz w:val="22"/>
                <w:szCs w:val="22"/>
                <w:highlight w:val="none"/>
                <w:u w:val="single"/>
                <w:lang w:bidi="ar"/>
              </w:rPr>
              <w:t>★</w:t>
            </w:r>
            <w:r>
              <w:rPr>
                <w:rFonts w:hint="eastAsia" w:ascii="宋体" w:hAnsi="宋体" w:cs="宋体"/>
                <w:color w:val="auto"/>
                <w:kern w:val="0"/>
                <w:sz w:val="22"/>
                <w:szCs w:val="22"/>
                <w:highlight w:val="none"/>
                <w:u w:val="single"/>
                <w:lang w:bidi="ar"/>
              </w:rPr>
              <w:t>1.</w:t>
            </w:r>
            <w:r>
              <w:rPr>
                <w:rFonts w:ascii="宋体" w:hAnsi="宋体" w:cs="宋体"/>
                <w:color w:val="auto"/>
                <w:kern w:val="0"/>
                <w:sz w:val="22"/>
                <w:szCs w:val="22"/>
                <w:highlight w:val="none"/>
                <w:u w:val="single"/>
                <w:lang w:bidi="ar"/>
              </w:rPr>
              <w:t>14、硬件无需后期处理可自动去除视场内的移动物体</w:t>
            </w:r>
            <w:r>
              <w:rPr>
                <w:rFonts w:hint="eastAsia" w:ascii="宋体" w:hAnsi="宋体" w:cs="宋体"/>
                <w:color w:val="auto"/>
                <w:kern w:val="0"/>
                <w:sz w:val="22"/>
                <w:szCs w:val="22"/>
                <w:highlight w:val="none"/>
                <w:u w:val="single"/>
                <w:lang w:bidi="ar"/>
              </w:rPr>
              <w:t>。</w:t>
            </w:r>
          </w:p>
          <w:p w14:paraId="5D85A0E7">
            <w:pPr>
              <w:pStyle w:val="3"/>
              <w:ind w:firstLine="440" w:firstLineChars="200"/>
              <w:rPr>
                <w:rFonts w:ascii="宋体" w:hAnsi="宋体" w:cs="宋体"/>
                <w:color w:val="auto"/>
                <w:kern w:val="0"/>
                <w:sz w:val="22"/>
                <w:szCs w:val="22"/>
                <w:highlight w:val="none"/>
                <w:u w:val="single"/>
                <w:lang w:bidi="ar"/>
              </w:rPr>
            </w:pPr>
            <w:r>
              <w:rPr>
                <w:rFonts w:ascii="宋体" w:hAnsi="宋体" w:cs="宋体"/>
                <w:color w:val="auto"/>
                <w:kern w:val="0"/>
                <w:sz w:val="22"/>
                <w:szCs w:val="22"/>
                <w:highlight w:val="none"/>
                <w:u w:val="single"/>
                <w:lang w:bidi="ar"/>
              </w:rPr>
              <w:t>★</w:t>
            </w:r>
            <w:r>
              <w:rPr>
                <w:rFonts w:hint="eastAsia" w:ascii="宋体" w:hAnsi="宋体" w:cs="宋体"/>
                <w:color w:val="auto"/>
                <w:kern w:val="0"/>
                <w:sz w:val="22"/>
                <w:szCs w:val="22"/>
                <w:highlight w:val="none"/>
                <w:u w:val="single"/>
                <w:lang w:bidi="ar"/>
              </w:rPr>
              <w:t>1.</w:t>
            </w:r>
            <w:r>
              <w:rPr>
                <w:rFonts w:ascii="宋体" w:hAnsi="宋体" w:cs="宋体"/>
                <w:color w:val="auto"/>
                <w:kern w:val="0"/>
                <w:sz w:val="22"/>
                <w:szCs w:val="22"/>
                <w:highlight w:val="none"/>
                <w:u w:val="single"/>
                <w:lang w:bidi="ar"/>
              </w:rPr>
              <w:t>15、实时拼接：通过移动端设备实时对连续两个测站间的点云进行拼接，现场即可实现浏览查看。</w:t>
            </w:r>
          </w:p>
          <w:p w14:paraId="5980F1A9">
            <w:pPr>
              <w:pStyle w:val="3"/>
              <w:ind w:firstLine="440" w:firstLineChars="200"/>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2、</w:t>
            </w:r>
            <w:r>
              <w:rPr>
                <w:rFonts w:ascii="宋体" w:hAnsi="宋体" w:cs="宋体"/>
                <w:color w:val="auto"/>
                <w:kern w:val="0"/>
                <w:sz w:val="22"/>
                <w:szCs w:val="22"/>
                <w:highlight w:val="none"/>
                <w:lang w:bidi="ar"/>
              </w:rPr>
              <w:t>软件部分</w:t>
            </w:r>
          </w:p>
          <w:p w14:paraId="26444C71">
            <w:pPr>
              <w:pStyle w:val="3"/>
              <w:ind w:firstLine="440" w:firstLineChars="200"/>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2.1.</w:t>
            </w:r>
            <w:r>
              <w:rPr>
                <w:rFonts w:ascii="宋体" w:hAnsi="宋体" w:cs="宋体"/>
                <w:color w:val="auto"/>
                <w:kern w:val="0"/>
                <w:sz w:val="22"/>
                <w:szCs w:val="22"/>
                <w:highlight w:val="none"/>
                <w:lang w:bidi="ar"/>
              </w:rPr>
              <w:t>数据管理软件</w:t>
            </w:r>
          </w:p>
          <w:p w14:paraId="7A12953F">
            <w:pPr>
              <w:pStyle w:val="3"/>
              <w:ind w:firstLine="440" w:firstLineChars="200"/>
              <w:rPr>
                <w:rFonts w:ascii="宋体" w:hAnsi="宋体" w:cs="宋体"/>
                <w:color w:val="auto"/>
                <w:kern w:val="0"/>
                <w:sz w:val="22"/>
                <w:szCs w:val="22"/>
                <w:highlight w:val="none"/>
                <w:u w:val="single"/>
                <w:lang w:bidi="ar"/>
              </w:rPr>
            </w:pPr>
            <w:r>
              <w:rPr>
                <w:rFonts w:ascii="宋体" w:hAnsi="宋体" w:cs="宋体"/>
                <w:color w:val="auto"/>
                <w:kern w:val="0"/>
                <w:sz w:val="22"/>
                <w:szCs w:val="22"/>
                <w:highlight w:val="none"/>
                <w:u w:val="single"/>
                <w:lang w:bidi="ar"/>
              </w:rPr>
              <w:t>★</w:t>
            </w:r>
            <w:r>
              <w:rPr>
                <w:rFonts w:hint="eastAsia" w:ascii="宋体" w:hAnsi="宋体" w:cs="宋体"/>
                <w:color w:val="auto"/>
                <w:kern w:val="0"/>
                <w:sz w:val="22"/>
                <w:szCs w:val="22"/>
                <w:highlight w:val="none"/>
                <w:u w:val="single"/>
                <w:lang w:bidi="ar"/>
              </w:rPr>
              <w:t>2.1.</w:t>
            </w:r>
            <w:r>
              <w:rPr>
                <w:rFonts w:ascii="宋体" w:hAnsi="宋体" w:cs="宋体"/>
                <w:color w:val="auto"/>
                <w:kern w:val="0"/>
                <w:sz w:val="22"/>
                <w:szCs w:val="22"/>
                <w:highlight w:val="none"/>
                <w:u w:val="single"/>
                <w:lang w:bidi="ar"/>
              </w:rPr>
              <w:t xml:space="preserve">1、高效导入点云数据，可一键清除全部孤立点云、噪点，保留点云主体数据。 </w:t>
            </w:r>
          </w:p>
          <w:p w14:paraId="72442F65">
            <w:pPr>
              <w:pStyle w:val="3"/>
              <w:ind w:firstLine="440" w:firstLineChars="200"/>
              <w:rPr>
                <w:rFonts w:ascii="宋体" w:hAnsi="宋体" w:cs="宋体"/>
                <w:color w:val="auto"/>
                <w:kern w:val="0"/>
                <w:sz w:val="22"/>
                <w:szCs w:val="22"/>
                <w:highlight w:val="none"/>
                <w:u w:val="single"/>
                <w:lang w:bidi="ar"/>
              </w:rPr>
            </w:pPr>
            <w:r>
              <w:rPr>
                <w:rFonts w:ascii="宋体" w:hAnsi="宋体" w:cs="宋体"/>
                <w:color w:val="auto"/>
                <w:kern w:val="0"/>
                <w:sz w:val="22"/>
                <w:szCs w:val="22"/>
                <w:highlight w:val="none"/>
                <w:u w:val="single"/>
                <w:lang w:bidi="ar"/>
              </w:rPr>
              <w:t>★</w:t>
            </w:r>
            <w:r>
              <w:rPr>
                <w:rFonts w:hint="eastAsia" w:ascii="宋体" w:hAnsi="宋体" w:cs="宋体"/>
                <w:color w:val="auto"/>
                <w:kern w:val="0"/>
                <w:sz w:val="22"/>
                <w:szCs w:val="22"/>
                <w:highlight w:val="none"/>
                <w:u w:val="single"/>
                <w:lang w:bidi="ar"/>
              </w:rPr>
              <w:t>2.1.</w:t>
            </w:r>
            <w:r>
              <w:rPr>
                <w:rFonts w:ascii="宋体" w:hAnsi="宋体" w:cs="宋体"/>
                <w:color w:val="auto"/>
                <w:kern w:val="0"/>
                <w:sz w:val="22"/>
                <w:szCs w:val="22"/>
                <w:highlight w:val="none"/>
                <w:u w:val="single"/>
                <w:lang w:bidi="ar"/>
              </w:rPr>
              <w:t>2、可处理全站仪、三维激光扫描仪等各类测绘设备数据，支持多测回测角、导线平差、水准平差、基线解算的创建与编辑功能</w:t>
            </w:r>
            <w:r>
              <w:rPr>
                <w:rFonts w:hint="eastAsia" w:ascii="宋体" w:hAnsi="宋体" w:cs="宋体"/>
                <w:color w:val="auto"/>
                <w:kern w:val="0"/>
                <w:sz w:val="22"/>
                <w:szCs w:val="22"/>
                <w:highlight w:val="none"/>
                <w:u w:val="single"/>
                <w:lang w:bidi="ar"/>
              </w:rPr>
              <w:t>。</w:t>
            </w:r>
          </w:p>
          <w:p w14:paraId="5F47DF0B">
            <w:pPr>
              <w:pStyle w:val="3"/>
              <w:ind w:firstLine="440" w:firstLineChars="200"/>
              <w:rPr>
                <w:rFonts w:ascii="宋体" w:hAnsi="宋体" w:cs="宋体"/>
                <w:color w:val="auto"/>
                <w:kern w:val="0"/>
                <w:sz w:val="22"/>
                <w:szCs w:val="22"/>
                <w:highlight w:val="none"/>
                <w:u w:val="single"/>
                <w:lang w:bidi="ar"/>
              </w:rPr>
            </w:pPr>
            <w:r>
              <w:rPr>
                <w:rFonts w:ascii="宋体" w:hAnsi="宋体" w:cs="宋体"/>
                <w:color w:val="auto"/>
                <w:kern w:val="0"/>
                <w:sz w:val="22"/>
                <w:szCs w:val="22"/>
                <w:highlight w:val="none"/>
                <w:u w:val="single"/>
                <w:lang w:bidi="ar"/>
              </w:rPr>
              <w:t>★</w:t>
            </w:r>
            <w:r>
              <w:rPr>
                <w:rFonts w:hint="eastAsia" w:ascii="宋体" w:hAnsi="宋体" w:cs="宋体"/>
                <w:color w:val="auto"/>
                <w:kern w:val="0"/>
                <w:sz w:val="22"/>
                <w:szCs w:val="22"/>
                <w:highlight w:val="none"/>
                <w:u w:val="single"/>
                <w:lang w:bidi="ar"/>
              </w:rPr>
              <w:t>2.1.</w:t>
            </w:r>
            <w:r>
              <w:rPr>
                <w:rFonts w:ascii="宋体" w:hAnsi="宋体" w:cs="宋体"/>
                <w:color w:val="auto"/>
                <w:kern w:val="0"/>
                <w:sz w:val="22"/>
                <w:szCs w:val="22"/>
                <w:highlight w:val="none"/>
                <w:u w:val="single"/>
                <w:lang w:bidi="ar"/>
              </w:rPr>
              <w:t>3、支持点云数据的显示与编辑，可构建 DTM 模型及生成等高线，并支持相关报表输出</w:t>
            </w:r>
            <w:r>
              <w:rPr>
                <w:rFonts w:hint="eastAsia" w:ascii="宋体" w:hAnsi="宋体" w:cs="宋体"/>
                <w:color w:val="auto"/>
                <w:kern w:val="0"/>
                <w:sz w:val="22"/>
                <w:szCs w:val="22"/>
                <w:highlight w:val="none"/>
                <w:u w:val="single"/>
                <w:lang w:bidi="ar"/>
              </w:rPr>
              <w:t>。</w:t>
            </w:r>
          </w:p>
          <w:p w14:paraId="387DA68E">
            <w:pPr>
              <w:pStyle w:val="3"/>
              <w:ind w:firstLine="440" w:firstLineChars="200"/>
              <w:rPr>
                <w:rFonts w:ascii="宋体" w:hAnsi="宋体" w:cs="宋体"/>
                <w:color w:val="auto"/>
                <w:kern w:val="0"/>
                <w:sz w:val="22"/>
                <w:szCs w:val="22"/>
                <w:highlight w:val="none"/>
                <w:u w:val="single"/>
                <w:lang w:bidi="ar"/>
              </w:rPr>
            </w:pPr>
            <w:r>
              <w:rPr>
                <w:rFonts w:ascii="宋体" w:hAnsi="宋体" w:cs="宋体"/>
                <w:color w:val="auto"/>
                <w:kern w:val="0"/>
                <w:sz w:val="22"/>
                <w:szCs w:val="22"/>
                <w:highlight w:val="none"/>
                <w:u w:val="single"/>
                <w:lang w:bidi="ar"/>
              </w:rPr>
              <w:t>★</w:t>
            </w:r>
            <w:r>
              <w:rPr>
                <w:rFonts w:hint="eastAsia" w:ascii="宋体" w:hAnsi="宋体" w:cs="宋体"/>
                <w:color w:val="auto"/>
                <w:kern w:val="0"/>
                <w:sz w:val="22"/>
                <w:szCs w:val="22"/>
                <w:highlight w:val="none"/>
                <w:u w:val="single"/>
                <w:lang w:bidi="ar"/>
              </w:rPr>
              <w:t>2.1.</w:t>
            </w:r>
            <w:r>
              <w:rPr>
                <w:rFonts w:ascii="宋体" w:hAnsi="宋体" w:cs="宋体"/>
                <w:color w:val="auto"/>
                <w:kern w:val="0"/>
                <w:sz w:val="22"/>
                <w:szCs w:val="22"/>
                <w:highlight w:val="none"/>
                <w:u w:val="single"/>
                <w:lang w:bidi="ar"/>
              </w:rPr>
              <w:t>4、提供不少于四种体积测量模式，基于 DTM 模型实现体积计算，计算完成后自动生成体积测量报告</w:t>
            </w:r>
            <w:r>
              <w:rPr>
                <w:rFonts w:hint="eastAsia" w:ascii="宋体" w:hAnsi="宋体" w:cs="宋体"/>
                <w:color w:val="auto"/>
                <w:kern w:val="0"/>
                <w:sz w:val="22"/>
                <w:szCs w:val="22"/>
                <w:highlight w:val="none"/>
                <w:u w:val="single"/>
                <w:lang w:bidi="ar"/>
              </w:rPr>
              <w:t>。</w:t>
            </w:r>
          </w:p>
          <w:p w14:paraId="21EDB406">
            <w:pPr>
              <w:pStyle w:val="3"/>
              <w:ind w:firstLine="440" w:firstLineChars="200"/>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2.1.</w:t>
            </w:r>
            <w:r>
              <w:rPr>
                <w:rFonts w:ascii="宋体" w:hAnsi="宋体" w:cs="宋体"/>
                <w:color w:val="auto"/>
                <w:kern w:val="0"/>
                <w:sz w:val="22"/>
                <w:szCs w:val="22"/>
                <w:highlight w:val="none"/>
                <w:lang w:bidi="ar"/>
              </w:rPr>
              <w:t>5、支持多种数据格式导入与导出，包括 e57、las/laz、ply、pts、LIN、LandXML、SmartWorx DBX、LEV、XYZ、DXF、DWG 等</w:t>
            </w:r>
            <w:r>
              <w:rPr>
                <w:rFonts w:hint="eastAsia" w:ascii="宋体" w:hAnsi="宋体" w:cs="宋体"/>
                <w:color w:val="auto"/>
                <w:kern w:val="0"/>
                <w:sz w:val="22"/>
                <w:szCs w:val="22"/>
                <w:highlight w:val="none"/>
                <w:lang w:bidi="ar"/>
              </w:rPr>
              <w:t>。</w:t>
            </w:r>
          </w:p>
          <w:p w14:paraId="649E4152">
            <w:pPr>
              <w:pStyle w:val="3"/>
              <w:ind w:firstLine="440" w:firstLineChars="200"/>
              <w:rPr>
                <w:rFonts w:ascii="宋体" w:hAnsi="宋体" w:cs="宋体"/>
                <w:color w:val="auto"/>
                <w:kern w:val="0"/>
                <w:sz w:val="22"/>
                <w:szCs w:val="22"/>
                <w:highlight w:val="none"/>
                <w:u w:val="single"/>
                <w:lang w:bidi="ar"/>
              </w:rPr>
            </w:pPr>
            <w:r>
              <w:rPr>
                <w:rFonts w:ascii="宋体" w:hAnsi="宋体" w:cs="宋体"/>
                <w:color w:val="auto"/>
                <w:kern w:val="0"/>
                <w:sz w:val="22"/>
                <w:szCs w:val="22"/>
                <w:highlight w:val="none"/>
                <w:u w:val="single"/>
                <w:lang w:bidi="ar"/>
              </w:rPr>
              <w:t>★</w:t>
            </w:r>
            <w:r>
              <w:rPr>
                <w:rFonts w:hint="eastAsia" w:ascii="宋体" w:hAnsi="宋体" w:cs="宋体"/>
                <w:color w:val="auto"/>
                <w:kern w:val="0"/>
                <w:sz w:val="22"/>
                <w:szCs w:val="22"/>
                <w:highlight w:val="none"/>
                <w:u w:val="single"/>
                <w:lang w:bidi="ar"/>
              </w:rPr>
              <w:t>2.1.</w:t>
            </w:r>
            <w:r>
              <w:rPr>
                <w:rFonts w:ascii="宋体" w:hAnsi="宋体" w:cs="宋体"/>
                <w:color w:val="auto"/>
                <w:kern w:val="0"/>
                <w:sz w:val="22"/>
                <w:szCs w:val="22"/>
                <w:highlight w:val="none"/>
                <w:u w:val="single"/>
                <w:lang w:bidi="ar"/>
              </w:rPr>
              <w:t>6、支持导入 BIM 模型，可结合机械控制系统实现数字化施工指导</w:t>
            </w:r>
            <w:r>
              <w:rPr>
                <w:rFonts w:hint="eastAsia" w:ascii="宋体" w:hAnsi="宋体" w:cs="宋体"/>
                <w:color w:val="auto"/>
                <w:kern w:val="0"/>
                <w:sz w:val="22"/>
                <w:szCs w:val="22"/>
                <w:highlight w:val="none"/>
                <w:u w:val="single"/>
                <w:lang w:bidi="ar"/>
              </w:rPr>
              <w:t>。</w:t>
            </w:r>
          </w:p>
          <w:p w14:paraId="34E5BCA5">
            <w:pPr>
              <w:pStyle w:val="3"/>
              <w:ind w:firstLine="440" w:firstLineChars="200"/>
              <w:rPr>
                <w:rFonts w:ascii="宋体" w:hAnsi="宋体" w:cs="宋体"/>
                <w:color w:val="auto"/>
                <w:kern w:val="0"/>
                <w:sz w:val="22"/>
                <w:szCs w:val="22"/>
                <w:highlight w:val="none"/>
                <w:u w:val="single"/>
                <w:lang w:bidi="ar"/>
              </w:rPr>
            </w:pPr>
            <w:r>
              <w:rPr>
                <w:rFonts w:ascii="宋体" w:hAnsi="宋体" w:cs="宋体"/>
                <w:color w:val="auto"/>
                <w:kern w:val="0"/>
                <w:sz w:val="22"/>
                <w:szCs w:val="22"/>
                <w:highlight w:val="none"/>
                <w:u w:val="single"/>
                <w:lang w:bidi="ar"/>
              </w:rPr>
              <w:t>★</w:t>
            </w:r>
            <w:r>
              <w:rPr>
                <w:rFonts w:hint="eastAsia" w:ascii="宋体" w:hAnsi="宋体" w:cs="宋体"/>
                <w:color w:val="auto"/>
                <w:kern w:val="0"/>
                <w:sz w:val="22"/>
                <w:szCs w:val="22"/>
                <w:highlight w:val="none"/>
                <w:u w:val="single"/>
                <w:lang w:bidi="ar"/>
              </w:rPr>
              <w:t>2.1.</w:t>
            </w:r>
            <w:r>
              <w:rPr>
                <w:rFonts w:ascii="宋体" w:hAnsi="宋体" w:cs="宋体"/>
                <w:color w:val="auto"/>
                <w:kern w:val="0"/>
                <w:sz w:val="22"/>
                <w:szCs w:val="22"/>
                <w:highlight w:val="none"/>
                <w:u w:val="single"/>
                <w:lang w:bidi="ar"/>
              </w:rPr>
              <w:t>7、支持利用相控点拼接全景照片，可解算照片重叠区域内任意点坐标；（真人操作软件演示）</w:t>
            </w:r>
            <w:r>
              <w:rPr>
                <w:rFonts w:hint="eastAsia" w:ascii="宋体" w:hAnsi="宋体" w:cs="宋体"/>
                <w:color w:val="auto"/>
                <w:kern w:val="0"/>
                <w:sz w:val="22"/>
                <w:szCs w:val="22"/>
                <w:highlight w:val="none"/>
                <w:u w:val="single"/>
                <w:lang w:bidi="ar"/>
              </w:rPr>
              <w:t>。</w:t>
            </w:r>
          </w:p>
          <w:p w14:paraId="63DA6E73">
            <w:pPr>
              <w:pStyle w:val="3"/>
              <w:ind w:firstLine="440" w:firstLineChars="200"/>
              <w:rPr>
                <w:rFonts w:ascii="宋体" w:hAnsi="宋体" w:cs="宋体"/>
                <w:color w:val="auto"/>
                <w:kern w:val="0"/>
                <w:sz w:val="22"/>
                <w:szCs w:val="22"/>
                <w:highlight w:val="none"/>
                <w:u w:val="single"/>
                <w:lang w:bidi="ar"/>
              </w:rPr>
            </w:pPr>
            <w:r>
              <w:rPr>
                <w:rFonts w:ascii="宋体" w:hAnsi="宋体" w:cs="宋体"/>
                <w:color w:val="auto"/>
                <w:kern w:val="0"/>
                <w:sz w:val="22"/>
                <w:szCs w:val="22"/>
                <w:highlight w:val="none"/>
                <w:u w:val="single"/>
                <w:lang w:bidi="ar"/>
              </w:rPr>
              <w:t>★</w:t>
            </w:r>
            <w:r>
              <w:rPr>
                <w:rFonts w:hint="eastAsia" w:ascii="宋体" w:hAnsi="宋体" w:cs="宋体"/>
                <w:color w:val="auto"/>
                <w:kern w:val="0"/>
                <w:sz w:val="22"/>
                <w:szCs w:val="22"/>
                <w:highlight w:val="none"/>
                <w:u w:val="single"/>
                <w:lang w:bidi="ar"/>
              </w:rPr>
              <w:t>2.1.</w:t>
            </w:r>
            <w:r>
              <w:rPr>
                <w:rFonts w:ascii="宋体" w:hAnsi="宋体" w:cs="宋体"/>
                <w:color w:val="auto"/>
                <w:kern w:val="0"/>
                <w:sz w:val="22"/>
                <w:szCs w:val="22"/>
                <w:highlight w:val="none"/>
                <w:u w:val="single"/>
                <w:lang w:bidi="ar"/>
              </w:rPr>
              <w:t>8、支持创建可共享的测量数据图纸，支持以 PDF、DXF、DWG 格式导出。</w:t>
            </w:r>
          </w:p>
          <w:p w14:paraId="7E796A8C">
            <w:pPr>
              <w:pStyle w:val="3"/>
              <w:ind w:firstLine="440" w:firstLineChars="200"/>
              <w:rPr>
                <w:rFonts w:ascii="宋体" w:hAnsi="宋体" w:cs="宋体"/>
                <w:color w:val="auto"/>
                <w:kern w:val="0"/>
                <w:sz w:val="22"/>
                <w:szCs w:val="22"/>
                <w:highlight w:val="none"/>
                <w:u w:val="single"/>
                <w:lang w:bidi="ar"/>
              </w:rPr>
            </w:pPr>
            <w:r>
              <w:rPr>
                <w:rFonts w:ascii="宋体" w:hAnsi="宋体" w:cs="宋体"/>
                <w:color w:val="auto"/>
                <w:kern w:val="0"/>
                <w:sz w:val="22"/>
                <w:szCs w:val="22"/>
                <w:highlight w:val="none"/>
                <w:u w:val="single"/>
                <w:lang w:bidi="ar"/>
              </w:rPr>
              <w:t>★</w:t>
            </w:r>
            <w:r>
              <w:rPr>
                <w:rFonts w:hint="eastAsia" w:ascii="宋体" w:hAnsi="宋体" w:cs="宋体"/>
                <w:color w:val="auto"/>
                <w:kern w:val="0"/>
                <w:sz w:val="22"/>
                <w:szCs w:val="22"/>
                <w:highlight w:val="none"/>
                <w:u w:val="single"/>
                <w:lang w:bidi="ar"/>
              </w:rPr>
              <w:t>2.1.</w:t>
            </w:r>
            <w:r>
              <w:rPr>
                <w:rFonts w:ascii="宋体" w:hAnsi="宋体" w:cs="宋体"/>
                <w:color w:val="auto"/>
                <w:kern w:val="0"/>
                <w:sz w:val="22"/>
                <w:szCs w:val="22"/>
                <w:highlight w:val="none"/>
                <w:u w:val="single"/>
                <w:lang w:bidi="ar"/>
              </w:rPr>
              <w:t xml:space="preserve">9、投标人应提供在国内版权局所能查询到的软件著作权登记证书。 </w:t>
            </w:r>
          </w:p>
          <w:p w14:paraId="4BF8A74F">
            <w:pPr>
              <w:pStyle w:val="3"/>
              <w:ind w:firstLine="440" w:firstLineChars="200"/>
              <w:rPr>
                <w:rFonts w:ascii="宋体" w:hAnsi="宋体" w:cs="宋体"/>
                <w:color w:val="auto"/>
                <w:kern w:val="0"/>
                <w:sz w:val="22"/>
                <w:szCs w:val="22"/>
                <w:highlight w:val="none"/>
                <w:lang w:bidi="ar"/>
              </w:rPr>
            </w:pPr>
            <w:r>
              <w:rPr>
                <w:rFonts w:ascii="宋体" w:hAnsi="宋体" w:cs="宋体"/>
                <w:color w:val="auto"/>
                <w:kern w:val="0"/>
                <w:sz w:val="22"/>
                <w:szCs w:val="22"/>
                <w:highlight w:val="none"/>
                <w:u w:val="single"/>
                <w:lang w:bidi="ar"/>
              </w:rPr>
              <w:t>▲</w:t>
            </w:r>
            <w:r>
              <w:rPr>
                <w:rFonts w:hint="eastAsia" w:ascii="宋体" w:hAnsi="宋体" w:cs="宋体"/>
                <w:color w:val="auto"/>
                <w:kern w:val="0"/>
                <w:sz w:val="22"/>
                <w:szCs w:val="22"/>
                <w:highlight w:val="none"/>
                <w:u w:val="single"/>
                <w:lang w:bidi="ar"/>
              </w:rPr>
              <w:t>2.1.</w:t>
            </w:r>
            <w:r>
              <w:rPr>
                <w:rFonts w:ascii="宋体" w:hAnsi="宋体" w:cs="宋体"/>
                <w:color w:val="auto"/>
                <w:kern w:val="0"/>
                <w:sz w:val="22"/>
                <w:szCs w:val="22"/>
                <w:highlight w:val="none"/>
                <w:u w:val="single"/>
                <w:lang w:bidi="ar"/>
              </w:rPr>
              <w:t>10、软件必须配备不少于10个节点且为</w:t>
            </w:r>
            <w:r>
              <w:rPr>
                <w:rFonts w:hint="eastAsia" w:ascii="宋体" w:hAnsi="宋体" w:cs="宋体"/>
                <w:color w:val="auto"/>
                <w:kern w:val="0"/>
                <w:sz w:val="22"/>
                <w:szCs w:val="22"/>
                <w:highlight w:val="none"/>
                <w:u w:val="single"/>
                <w:lang w:bidi="ar"/>
              </w:rPr>
              <w:t>本项目配备</w:t>
            </w:r>
            <w:r>
              <w:rPr>
                <w:rFonts w:ascii="宋体" w:hAnsi="宋体" w:cs="宋体"/>
                <w:color w:val="auto"/>
                <w:kern w:val="0"/>
                <w:sz w:val="22"/>
                <w:szCs w:val="22"/>
                <w:highlight w:val="none"/>
                <w:u w:val="single"/>
                <w:lang w:bidi="ar"/>
              </w:rPr>
              <w:t>正版</w:t>
            </w:r>
            <w:r>
              <w:rPr>
                <w:rFonts w:hint="eastAsia" w:ascii="宋体" w:hAnsi="宋体" w:cs="宋体"/>
                <w:color w:val="auto"/>
                <w:kern w:val="0"/>
                <w:sz w:val="22"/>
                <w:szCs w:val="22"/>
                <w:highlight w:val="none"/>
                <w:u w:val="single"/>
                <w:lang w:bidi="ar"/>
              </w:rPr>
              <w:t>软件</w:t>
            </w:r>
            <w:r>
              <w:rPr>
                <w:rFonts w:ascii="宋体" w:hAnsi="宋体" w:cs="宋体"/>
                <w:color w:val="auto"/>
                <w:kern w:val="0"/>
                <w:sz w:val="22"/>
                <w:szCs w:val="22"/>
                <w:highlight w:val="none"/>
                <w:u w:val="single"/>
                <w:lang w:bidi="ar"/>
              </w:rPr>
              <w:t>，</w:t>
            </w:r>
            <w:r>
              <w:rPr>
                <w:rFonts w:hint="eastAsia" w:ascii="宋体" w:hAnsi="宋体" w:cs="宋体"/>
                <w:color w:val="auto"/>
                <w:kern w:val="0"/>
                <w:sz w:val="22"/>
                <w:szCs w:val="22"/>
                <w:highlight w:val="none"/>
                <w:u w:val="single"/>
                <w:lang w:bidi="ar"/>
              </w:rPr>
              <w:t>供应商</w:t>
            </w:r>
            <w:r>
              <w:rPr>
                <w:rFonts w:ascii="宋体" w:hAnsi="宋体" w:cs="宋体"/>
                <w:color w:val="auto"/>
                <w:kern w:val="0"/>
                <w:sz w:val="22"/>
                <w:szCs w:val="22"/>
                <w:highlight w:val="none"/>
                <w:u w:val="single"/>
                <w:lang w:bidi="ar"/>
              </w:rPr>
              <w:t>在中标</w:t>
            </w:r>
            <w:r>
              <w:rPr>
                <w:rFonts w:hint="eastAsia" w:ascii="宋体" w:hAnsi="宋体" w:cs="宋体"/>
                <w:color w:val="auto"/>
                <w:kern w:val="0"/>
                <w:sz w:val="22"/>
                <w:szCs w:val="22"/>
                <w:highlight w:val="none"/>
                <w:u w:val="single"/>
                <w:lang w:bidi="ar"/>
              </w:rPr>
              <w:t>（成交）</w:t>
            </w:r>
            <w:r>
              <w:rPr>
                <w:rFonts w:ascii="宋体" w:hAnsi="宋体" w:cs="宋体"/>
                <w:color w:val="auto"/>
                <w:kern w:val="0"/>
                <w:sz w:val="22"/>
                <w:szCs w:val="22"/>
                <w:highlight w:val="none"/>
                <w:u w:val="single"/>
                <w:lang w:bidi="ar"/>
              </w:rPr>
              <w:t>后</w:t>
            </w:r>
            <w:r>
              <w:rPr>
                <w:rFonts w:hint="eastAsia" w:ascii="宋体" w:hAnsi="宋体" w:cs="宋体"/>
                <w:color w:val="auto"/>
                <w:kern w:val="0"/>
                <w:sz w:val="22"/>
                <w:szCs w:val="22"/>
                <w:highlight w:val="none"/>
                <w:u w:val="single"/>
                <w:lang w:bidi="ar"/>
              </w:rPr>
              <w:t>提供软件正版证明，能够证明提供的软件来源合法，避免专利及版权纠纷。包括但不限于软件的采购合同、软件制造商</w:t>
            </w:r>
            <w:r>
              <w:rPr>
                <w:rFonts w:hint="eastAsia" w:ascii="宋体" w:hAnsi="宋体" w:cs="宋体"/>
                <w:color w:val="auto"/>
                <w:kern w:val="0"/>
                <w:sz w:val="22"/>
                <w:szCs w:val="22"/>
                <w:highlight w:val="none"/>
                <w:u w:val="single"/>
                <w:lang w:eastAsia="zh-CN" w:bidi="ar"/>
              </w:rPr>
              <w:t>相关</w:t>
            </w:r>
            <w:r>
              <w:rPr>
                <w:rFonts w:hint="eastAsia" w:ascii="宋体" w:hAnsi="宋体" w:cs="宋体"/>
                <w:color w:val="auto"/>
                <w:kern w:val="0"/>
                <w:sz w:val="22"/>
                <w:szCs w:val="22"/>
                <w:highlight w:val="none"/>
                <w:u w:val="single"/>
                <w:lang w:bidi="ar"/>
              </w:rPr>
              <w:t>授权文件、软件所有权证明文件等。</w:t>
            </w:r>
            <w:r>
              <w:rPr>
                <w:rFonts w:ascii="宋体" w:hAnsi="宋体" w:cs="宋体"/>
                <w:color w:val="auto"/>
                <w:kern w:val="0"/>
                <w:sz w:val="22"/>
                <w:szCs w:val="22"/>
                <w:highlight w:val="none"/>
                <w:lang w:bidi="ar"/>
              </w:rPr>
              <w:t xml:space="preserve"> </w:t>
            </w:r>
          </w:p>
          <w:p w14:paraId="43BFD7CA">
            <w:pPr>
              <w:pStyle w:val="3"/>
              <w:ind w:firstLine="440" w:firstLineChars="200"/>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2.2、</w:t>
            </w:r>
            <w:r>
              <w:rPr>
                <w:rFonts w:ascii="宋体" w:hAnsi="宋体" w:cs="宋体"/>
                <w:color w:val="auto"/>
                <w:kern w:val="0"/>
                <w:sz w:val="22"/>
                <w:szCs w:val="22"/>
                <w:highlight w:val="none"/>
                <w:lang w:bidi="ar"/>
              </w:rPr>
              <w:t>点云数据处理软件</w:t>
            </w:r>
          </w:p>
          <w:p w14:paraId="033D58EF">
            <w:pPr>
              <w:pStyle w:val="3"/>
              <w:ind w:firstLine="440" w:firstLineChars="200"/>
              <w:rPr>
                <w:rFonts w:ascii="宋体" w:hAnsi="宋体" w:cs="宋体"/>
                <w:color w:val="auto"/>
                <w:kern w:val="0"/>
                <w:sz w:val="22"/>
                <w:szCs w:val="22"/>
                <w:highlight w:val="none"/>
                <w:u w:val="single"/>
                <w:lang w:bidi="ar"/>
              </w:rPr>
            </w:pPr>
            <w:r>
              <w:rPr>
                <w:rFonts w:ascii="宋体" w:hAnsi="宋体" w:cs="宋体"/>
                <w:color w:val="auto"/>
                <w:kern w:val="0"/>
                <w:sz w:val="22"/>
                <w:szCs w:val="22"/>
                <w:highlight w:val="none"/>
                <w:u w:val="single"/>
                <w:lang w:bidi="ar"/>
              </w:rPr>
              <w:t>★</w:t>
            </w:r>
            <w:r>
              <w:rPr>
                <w:rFonts w:hint="eastAsia" w:ascii="宋体" w:hAnsi="宋体" w:cs="宋体"/>
                <w:color w:val="auto"/>
                <w:kern w:val="0"/>
                <w:sz w:val="22"/>
                <w:szCs w:val="22"/>
                <w:highlight w:val="none"/>
                <w:u w:val="single"/>
                <w:lang w:bidi="ar"/>
              </w:rPr>
              <w:t>2.2.</w:t>
            </w:r>
            <w:r>
              <w:rPr>
                <w:rFonts w:ascii="宋体" w:hAnsi="宋体" w:cs="宋体"/>
                <w:color w:val="auto"/>
                <w:kern w:val="0"/>
                <w:sz w:val="22"/>
                <w:szCs w:val="22"/>
                <w:highlight w:val="none"/>
                <w:u w:val="single"/>
                <w:lang w:bidi="ar"/>
              </w:rPr>
              <w:t>1、具有CAD点云插件功能，不需要借助第三方软件或进行数据格式转换，直接将点云接入到CAD软件中，进行数据处理；（真人操作软件演示）</w:t>
            </w:r>
            <w:r>
              <w:rPr>
                <w:rFonts w:hint="eastAsia" w:ascii="宋体" w:hAnsi="宋体" w:cs="宋体"/>
                <w:color w:val="auto"/>
                <w:kern w:val="0"/>
                <w:sz w:val="22"/>
                <w:szCs w:val="22"/>
                <w:highlight w:val="none"/>
                <w:u w:val="single"/>
                <w:lang w:bidi="ar"/>
              </w:rPr>
              <w:t>。</w:t>
            </w:r>
          </w:p>
          <w:p w14:paraId="4BFD116B">
            <w:pPr>
              <w:pStyle w:val="3"/>
              <w:ind w:firstLine="440" w:firstLineChars="200"/>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2.2.</w:t>
            </w:r>
            <w:r>
              <w:rPr>
                <w:rFonts w:ascii="宋体" w:hAnsi="宋体" w:cs="宋体"/>
                <w:color w:val="auto"/>
                <w:kern w:val="0"/>
                <w:sz w:val="22"/>
                <w:szCs w:val="22"/>
                <w:highlight w:val="none"/>
                <w:lang w:bidi="ar"/>
              </w:rPr>
              <w:t>2、数据共享：可通过插件模块对点云导航浏览、选择、采样和量测，简化数据处理流程，提高处理效率</w:t>
            </w:r>
            <w:r>
              <w:rPr>
                <w:rFonts w:hint="eastAsia" w:ascii="宋体" w:hAnsi="宋体" w:cs="宋体"/>
                <w:color w:val="auto"/>
                <w:kern w:val="0"/>
                <w:sz w:val="22"/>
                <w:szCs w:val="22"/>
                <w:highlight w:val="none"/>
                <w:lang w:bidi="ar"/>
              </w:rPr>
              <w:t>。</w:t>
            </w:r>
          </w:p>
          <w:p w14:paraId="3BCFE1FF">
            <w:pPr>
              <w:pStyle w:val="3"/>
              <w:ind w:firstLine="440" w:firstLineChars="200"/>
              <w:rPr>
                <w:rFonts w:ascii="宋体" w:hAnsi="宋体" w:cs="宋体"/>
                <w:color w:val="auto"/>
                <w:kern w:val="0"/>
                <w:sz w:val="22"/>
                <w:szCs w:val="22"/>
                <w:highlight w:val="none"/>
                <w:u w:val="single"/>
                <w:lang w:bidi="ar"/>
              </w:rPr>
            </w:pPr>
            <w:r>
              <w:rPr>
                <w:rFonts w:ascii="宋体" w:hAnsi="宋体" w:cs="宋体"/>
                <w:color w:val="auto"/>
                <w:kern w:val="0"/>
                <w:sz w:val="22"/>
                <w:szCs w:val="22"/>
                <w:highlight w:val="none"/>
                <w:u w:val="single"/>
                <w:lang w:bidi="ar"/>
              </w:rPr>
              <w:t>★</w:t>
            </w:r>
            <w:r>
              <w:rPr>
                <w:rFonts w:hint="eastAsia" w:ascii="宋体" w:hAnsi="宋体" w:cs="宋体"/>
                <w:color w:val="auto"/>
                <w:kern w:val="0"/>
                <w:sz w:val="22"/>
                <w:szCs w:val="22"/>
                <w:highlight w:val="none"/>
                <w:u w:val="single"/>
                <w:lang w:bidi="ar"/>
              </w:rPr>
              <w:t>2.2.</w:t>
            </w:r>
            <w:r>
              <w:rPr>
                <w:rFonts w:ascii="宋体" w:hAnsi="宋体" w:cs="宋体"/>
                <w:color w:val="auto"/>
                <w:kern w:val="0"/>
                <w:sz w:val="22"/>
                <w:szCs w:val="22"/>
                <w:highlight w:val="none"/>
                <w:u w:val="single"/>
                <w:lang w:bidi="ar"/>
              </w:rPr>
              <w:t>3、支持通用点云数据格式的导入，可在CAD环境中调整点云显示密度及显示方式（真彩色、假彩色、灰度等）；（真人操作软件演示）</w:t>
            </w:r>
            <w:r>
              <w:rPr>
                <w:rFonts w:hint="eastAsia" w:ascii="宋体" w:hAnsi="宋体" w:cs="宋体"/>
                <w:color w:val="auto"/>
                <w:kern w:val="0"/>
                <w:sz w:val="22"/>
                <w:szCs w:val="22"/>
                <w:highlight w:val="none"/>
                <w:u w:val="single"/>
                <w:lang w:bidi="ar"/>
              </w:rPr>
              <w:t>。</w:t>
            </w:r>
          </w:p>
          <w:p w14:paraId="65F24D3A">
            <w:pPr>
              <w:pStyle w:val="3"/>
              <w:ind w:firstLine="440" w:firstLineChars="200"/>
              <w:rPr>
                <w:rFonts w:ascii="宋体" w:hAnsi="宋体" w:cs="宋体"/>
                <w:color w:val="auto"/>
                <w:kern w:val="0"/>
                <w:sz w:val="22"/>
                <w:szCs w:val="22"/>
                <w:highlight w:val="none"/>
                <w:u w:val="single"/>
                <w:lang w:bidi="ar"/>
              </w:rPr>
            </w:pPr>
            <w:r>
              <w:rPr>
                <w:rFonts w:ascii="宋体" w:hAnsi="宋体" w:cs="宋体"/>
                <w:color w:val="auto"/>
                <w:kern w:val="0"/>
                <w:sz w:val="22"/>
                <w:szCs w:val="22"/>
                <w:highlight w:val="none"/>
                <w:u w:val="single"/>
                <w:lang w:bidi="ar"/>
              </w:rPr>
              <w:t>★</w:t>
            </w:r>
            <w:r>
              <w:rPr>
                <w:rFonts w:hint="eastAsia" w:ascii="宋体" w:hAnsi="宋体" w:cs="宋体"/>
                <w:color w:val="auto"/>
                <w:kern w:val="0"/>
                <w:sz w:val="22"/>
                <w:szCs w:val="22"/>
                <w:highlight w:val="none"/>
                <w:u w:val="single"/>
                <w:lang w:bidi="ar"/>
              </w:rPr>
              <w:t>2.2.</w:t>
            </w:r>
            <w:r>
              <w:rPr>
                <w:rFonts w:ascii="宋体" w:hAnsi="宋体" w:cs="宋体"/>
                <w:color w:val="auto"/>
                <w:kern w:val="0"/>
                <w:sz w:val="22"/>
                <w:szCs w:val="22"/>
                <w:highlight w:val="none"/>
                <w:u w:val="single"/>
                <w:lang w:bidi="ar"/>
              </w:rPr>
              <w:t>4、可快速基于地面、墙体等点云自定义设置坐标系统，为图形绘制提供灵活的坐标系参考基准，简化数据处理流程，提高处理效率；（真人操作软件演示）</w:t>
            </w:r>
            <w:r>
              <w:rPr>
                <w:rFonts w:hint="eastAsia" w:ascii="宋体" w:hAnsi="宋体" w:cs="宋体"/>
                <w:color w:val="auto"/>
                <w:kern w:val="0"/>
                <w:sz w:val="22"/>
                <w:szCs w:val="22"/>
                <w:highlight w:val="none"/>
                <w:u w:val="single"/>
                <w:lang w:bidi="ar"/>
              </w:rPr>
              <w:t>。</w:t>
            </w:r>
          </w:p>
          <w:p w14:paraId="3EA1FD12">
            <w:pPr>
              <w:pStyle w:val="3"/>
              <w:ind w:firstLine="440" w:firstLineChars="200"/>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2.2.</w:t>
            </w:r>
            <w:r>
              <w:rPr>
                <w:rFonts w:ascii="宋体" w:hAnsi="宋体" w:cs="宋体"/>
                <w:color w:val="auto"/>
                <w:kern w:val="0"/>
                <w:sz w:val="22"/>
                <w:szCs w:val="22"/>
                <w:highlight w:val="none"/>
                <w:lang w:bidi="ar"/>
              </w:rPr>
              <w:t>5、在CAD环境下支持点云切片、智能选点、正射影像图输出等功能，便于绘制立面图、平面图等专业图纸</w:t>
            </w:r>
            <w:r>
              <w:rPr>
                <w:rFonts w:hint="eastAsia" w:ascii="宋体" w:hAnsi="宋体" w:cs="宋体"/>
                <w:color w:val="auto"/>
                <w:kern w:val="0"/>
                <w:sz w:val="22"/>
                <w:szCs w:val="22"/>
                <w:highlight w:val="none"/>
                <w:lang w:bidi="ar"/>
              </w:rPr>
              <w:t>。</w:t>
            </w:r>
          </w:p>
          <w:p w14:paraId="64920DC9">
            <w:pPr>
              <w:pStyle w:val="3"/>
              <w:ind w:firstLine="440" w:firstLineChars="200"/>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2.2.</w:t>
            </w:r>
            <w:r>
              <w:rPr>
                <w:rFonts w:ascii="宋体" w:hAnsi="宋体" w:cs="宋体"/>
                <w:color w:val="auto"/>
                <w:kern w:val="0"/>
                <w:sz w:val="22"/>
                <w:szCs w:val="22"/>
                <w:highlight w:val="none"/>
                <w:lang w:bidi="ar"/>
              </w:rPr>
              <w:t>6、支持多种点云拼接方式：支持通过点云视图拼接、标靶拼接、混合拼接等多种拼接方式</w:t>
            </w:r>
            <w:r>
              <w:rPr>
                <w:rFonts w:hint="eastAsia" w:ascii="宋体" w:hAnsi="宋体" w:cs="宋体"/>
                <w:color w:val="auto"/>
                <w:kern w:val="0"/>
                <w:sz w:val="22"/>
                <w:szCs w:val="22"/>
                <w:highlight w:val="none"/>
                <w:lang w:bidi="ar"/>
              </w:rPr>
              <w:t>。</w:t>
            </w:r>
          </w:p>
          <w:p w14:paraId="64A753BB">
            <w:pPr>
              <w:pStyle w:val="3"/>
              <w:ind w:firstLine="440" w:firstLineChars="200"/>
              <w:rPr>
                <w:rFonts w:hint="eastAsia"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2.2.</w:t>
            </w:r>
            <w:r>
              <w:rPr>
                <w:rFonts w:ascii="宋体" w:hAnsi="宋体" w:cs="宋体"/>
                <w:color w:val="auto"/>
                <w:kern w:val="0"/>
                <w:sz w:val="22"/>
                <w:szCs w:val="22"/>
                <w:highlight w:val="none"/>
                <w:lang w:bidi="ar"/>
              </w:rPr>
              <w:t>7、兼容性：扫描数据与 AutoCAD、3D Max、Revit等主流软件兼容，并支持配套软件与后处理软件之间进行三维坐标的实时传输进行绘图、3D建模，并可通过图像进行 3D 绘图；（真人操作软件演示）</w:t>
            </w:r>
            <w:r>
              <w:rPr>
                <w:rFonts w:hint="eastAsia" w:ascii="宋体" w:hAnsi="宋体" w:cs="宋体"/>
                <w:color w:val="auto"/>
                <w:kern w:val="0"/>
                <w:sz w:val="22"/>
                <w:szCs w:val="22"/>
                <w:highlight w:val="none"/>
                <w:lang w:bidi="ar"/>
              </w:rPr>
              <w:t>。</w:t>
            </w:r>
          </w:p>
          <w:p w14:paraId="692C2C1F">
            <w:pPr>
              <w:pStyle w:val="3"/>
              <w:ind w:firstLine="440" w:firstLineChars="200"/>
              <w:rPr>
                <w:rFonts w:hint="eastAsia" w:ascii="宋体" w:hAnsi="宋体" w:cs="宋体"/>
                <w:color w:val="auto"/>
                <w:kern w:val="0"/>
                <w:sz w:val="22"/>
                <w:szCs w:val="22"/>
                <w:highlight w:val="none"/>
                <w:u w:val="single"/>
                <w:lang w:bidi="ar"/>
              </w:rPr>
            </w:pPr>
            <w:r>
              <w:rPr>
                <w:rFonts w:ascii="宋体" w:hAnsi="宋体" w:cs="宋体"/>
                <w:color w:val="auto"/>
                <w:kern w:val="0"/>
                <w:sz w:val="22"/>
                <w:szCs w:val="22"/>
                <w:highlight w:val="none"/>
                <w:u w:val="single"/>
                <w:lang w:bidi="ar"/>
              </w:rPr>
              <w:t>▲</w:t>
            </w:r>
            <w:r>
              <w:rPr>
                <w:rFonts w:hint="eastAsia" w:ascii="宋体" w:hAnsi="宋体" w:cs="宋体"/>
                <w:color w:val="auto"/>
                <w:kern w:val="0"/>
                <w:sz w:val="22"/>
                <w:szCs w:val="22"/>
                <w:highlight w:val="none"/>
                <w:u w:val="single"/>
                <w:lang w:bidi="ar"/>
              </w:rPr>
              <w:t>2.2.</w:t>
            </w:r>
            <w:r>
              <w:rPr>
                <w:rFonts w:ascii="宋体" w:hAnsi="宋体" w:cs="宋体"/>
                <w:color w:val="auto"/>
                <w:kern w:val="0"/>
                <w:sz w:val="22"/>
                <w:szCs w:val="22"/>
                <w:highlight w:val="none"/>
                <w:u w:val="single"/>
                <w:lang w:bidi="ar"/>
              </w:rPr>
              <w:t>8、</w:t>
            </w:r>
            <w:r>
              <w:rPr>
                <w:rFonts w:hint="eastAsia" w:ascii="宋体" w:hAnsi="宋体" w:cs="宋体"/>
                <w:color w:val="auto"/>
                <w:kern w:val="0"/>
                <w:sz w:val="22"/>
                <w:szCs w:val="22"/>
                <w:highlight w:val="none"/>
                <w:u w:val="single"/>
                <w:lang w:bidi="ar"/>
              </w:rPr>
              <w:t>为本项目配备</w:t>
            </w:r>
            <w:r>
              <w:rPr>
                <w:rFonts w:ascii="宋体" w:hAnsi="宋体" w:cs="宋体"/>
                <w:color w:val="auto"/>
                <w:kern w:val="0"/>
                <w:sz w:val="22"/>
                <w:szCs w:val="22"/>
                <w:highlight w:val="none"/>
                <w:u w:val="single"/>
                <w:lang w:bidi="ar"/>
              </w:rPr>
              <w:t>正版点云后处理软件，</w:t>
            </w:r>
            <w:r>
              <w:rPr>
                <w:rFonts w:hint="eastAsia" w:ascii="宋体" w:hAnsi="宋体" w:cs="宋体"/>
                <w:color w:val="auto"/>
                <w:kern w:val="0"/>
                <w:sz w:val="22"/>
                <w:szCs w:val="22"/>
                <w:highlight w:val="none"/>
                <w:u w:val="single"/>
                <w:lang w:bidi="ar"/>
              </w:rPr>
              <w:t>供应商</w:t>
            </w:r>
            <w:r>
              <w:rPr>
                <w:rFonts w:ascii="宋体" w:hAnsi="宋体" w:cs="宋体"/>
                <w:color w:val="auto"/>
                <w:kern w:val="0"/>
                <w:sz w:val="22"/>
                <w:szCs w:val="22"/>
                <w:highlight w:val="none"/>
                <w:u w:val="single"/>
                <w:lang w:bidi="ar"/>
              </w:rPr>
              <w:t>在中标</w:t>
            </w:r>
            <w:r>
              <w:rPr>
                <w:rFonts w:hint="eastAsia" w:ascii="宋体" w:hAnsi="宋体" w:cs="宋体"/>
                <w:color w:val="auto"/>
                <w:kern w:val="0"/>
                <w:sz w:val="22"/>
                <w:szCs w:val="22"/>
                <w:highlight w:val="none"/>
                <w:u w:val="single"/>
                <w:lang w:bidi="ar"/>
              </w:rPr>
              <w:t>（成交）</w:t>
            </w:r>
            <w:r>
              <w:rPr>
                <w:rFonts w:ascii="宋体" w:hAnsi="宋体" w:cs="宋体"/>
                <w:color w:val="auto"/>
                <w:kern w:val="0"/>
                <w:sz w:val="22"/>
                <w:szCs w:val="22"/>
                <w:highlight w:val="none"/>
                <w:u w:val="single"/>
                <w:lang w:bidi="ar"/>
              </w:rPr>
              <w:t>后</w:t>
            </w:r>
            <w:r>
              <w:rPr>
                <w:rFonts w:hint="eastAsia" w:ascii="宋体" w:hAnsi="宋体" w:cs="宋体"/>
                <w:color w:val="auto"/>
                <w:kern w:val="0"/>
                <w:sz w:val="22"/>
                <w:szCs w:val="22"/>
                <w:highlight w:val="none"/>
                <w:u w:val="single"/>
                <w:lang w:bidi="ar"/>
              </w:rPr>
              <w:t>提供软件正版证明，能够证明提供的软件来源合法，避免专利及版权纠纷。包括但不限于软件的采购合同、软件制造商</w:t>
            </w:r>
            <w:r>
              <w:rPr>
                <w:rFonts w:hint="eastAsia" w:ascii="宋体" w:hAnsi="宋体" w:cs="宋体"/>
                <w:color w:val="auto"/>
                <w:kern w:val="0"/>
                <w:sz w:val="22"/>
                <w:szCs w:val="22"/>
                <w:highlight w:val="none"/>
                <w:u w:val="single"/>
                <w:lang w:eastAsia="zh-CN" w:bidi="ar"/>
              </w:rPr>
              <w:t>相关</w:t>
            </w:r>
            <w:r>
              <w:rPr>
                <w:rFonts w:hint="eastAsia" w:ascii="宋体" w:hAnsi="宋体" w:cs="宋体"/>
                <w:color w:val="auto"/>
                <w:kern w:val="0"/>
                <w:sz w:val="22"/>
                <w:szCs w:val="22"/>
                <w:highlight w:val="none"/>
                <w:u w:val="single"/>
                <w:lang w:bidi="ar"/>
              </w:rPr>
              <w:t>授权文件、软件所有权证明文件等。</w:t>
            </w:r>
          </w:p>
          <w:p w14:paraId="1AB5C424">
            <w:pPr>
              <w:pStyle w:val="3"/>
              <w:ind w:firstLine="440" w:firstLineChars="200"/>
              <w:rPr>
                <w:rFonts w:ascii="宋体" w:hAnsi="宋体" w:cs="宋体"/>
                <w:color w:val="auto"/>
                <w:kern w:val="0"/>
                <w:sz w:val="22"/>
                <w:szCs w:val="22"/>
                <w:highlight w:val="none"/>
                <w:u w:val="single"/>
                <w:lang w:bidi="ar"/>
              </w:rPr>
            </w:pPr>
            <w:r>
              <w:rPr>
                <w:rFonts w:ascii="宋体" w:hAnsi="宋体" w:cs="宋体"/>
                <w:color w:val="auto"/>
                <w:kern w:val="0"/>
                <w:sz w:val="22"/>
                <w:szCs w:val="22"/>
                <w:highlight w:val="none"/>
                <w:u w:val="single"/>
                <w:lang w:bidi="ar"/>
              </w:rPr>
              <w:t>★</w:t>
            </w:r>
            <w:r>
              <w:rPr>
                <w:rFonts w:hint="eastAsia" w:ascii="宋体" w:hAnsi="宋体" w:cs="宋体"/>
                <w:color w:val="auto"/>
                <w:kern w:val="0"/>
                <w:sz w:val="22"/>
                <w:szCs w:val="22"/>
                <w:highlight w:val="none"/>
                <w:u w:val="single"/>
                <w:lang w:bidi="ar"/>
              </w:rPr>
              <w:t>2.2.</w:t>
            </w:r>
            <w:r>
              <w:rPr>
                <w:rFonts w:ascii="宋体" w:hAnsi="宋体" w:cs="宋体"/>
                <w:color w:val="auto"/>
                <w:kern w:val="0"/>
                <w:sz w:val="22"/>
                <w:szCs w:val="22"/>
                <w:highlight w:val="none"/>
                <w:u w:val="single"/>
                <w:lang w:bidi="ar"/>
              </w:rPr>
              <w:t>9、支持主流点云格式数据（asc、csv、xyz、yxz、pts、ptx、lgs、sdb、Xml、3pi、psl、nsd、dxf、stl、ac、las、laz、zfs 、ply、fls、fws、E57）、模型格式数据（msh、obj、dxf、off、out、poly、p4d、psl、ply、stl）、图像数据（bmp、png、tif、）、CAD数据（dwg、dxf、xml）的导入，实现扫描仪和软件成果的兼容</w:t>
            </w:r>
            <w:r>
              <w:rPr>
                <w:rFonts w:hint="eastAsia" w:ascii="宋体" w:hAnsi="宋体" w:cs="宋体"/>
                <w:color w:val="auto"/>
                <w:kern w:val="0"/>
                <w:sz w:val="22"/>
                <w:szCs w:val="22"/>
                <w:highlight w:val="none"/>
                <w:u w:val="single"/>
                <w:lang w:bidi="ar"/>
              </w:rPr>
              <w:t>。</w:t>
            </w:r>
          </w:p>
          <w:p w14:paraId="76A67D2C">
            <w:pPr>
              <w:pStyle w:val="3"/>
              <w:ind w:firstLine="440" w:firstLineChars="200"/>
              <w:rPr>
                <w:rFonts w:ascii="宋体" w:hAnsi="宋体" w:cs="宋体"/>
                <w:color w:val="auto"/>
                <w:kern w:val="0"/>
                <w:sz w:val="22"/>
                <w:szCs w:val="22"/>
                <w:highlight w:val="none"/>
                <w:u w:val="single"/>
                <w:lang w:bidi="ar"/>
              </w:rPr>
            </w:pPr>
            <w:r>
              <w:rPr>
                <w:rFonts w:ascii="宋体" w:hAnsi="宋体" w:cs="宋体"/>
                <w:color w:val="auto"/>
                <w:kern w:val="0"/>
                <w:sz w:val="22"/>
                <w:szCs w:val="22"/>
                <w:highlight w:val="none"/>
                <w:u w:val="single"/>
                <w:lang w:bidi="ar"/>
              </w:rPr>
              <w:t>★</w:t>
            </w:r>
            <w:r>
              <w:rPr>
                <w:rFonts w:hint="eastAsia" w:ascii="宋体" w:hAnsi="宋体" w:cs="宋体"/>
                <w:color w:val="auto"/>
                <w:kern w:val="0"/>
                <w:sz w:val="22"/>
                <w:szCs w:val="22"/>
                <w:highlight w:val="none"/>
                <w:u w:val="single"/>
                <w:lang w:bidi="ar"/>
              </w:rPr>
              <w:t>2.2.</w:t>
            </w:r>
            <w:r>
              <w:rPr>
                <w:rFonts w:ascii="宋体" w:hAnsi="宋体" w:cs="宋体"/>
                <w:color w:val="auto"/>
                <w:kern w:val="0"/>
                <w:sz w:val="22"/>
                <w:szCs w:val="22"/>
                <w:highlight w:val="none"/>
                <w:u w:val="single"/>
                <w:lang w:bidi="ar"/>
              </w:rPr>
              <w:t>10、支持点云数据生成mesh模型，并且提供多种工具对mesh模型进行自定义和优化，支持网格面自动补齐，支持网格面生成点云数据；（真人操作软件演示）</w:t>
            </w:r>
            <w:r>
              <w:rPr>
                <w:rFonts w:hint="eastAsia" w:ascii="宋体" w:hAnsi="宋体" w:cs="宋体"/>
                <w:color w:val="auto"/>
                <w:kern w:val="0"/>
                <w:sz w:val="22"/>
                <w:szCs w:val="22"/>
                <w:highlight w:val="none"/>
                <w:u w:val="single"/>
                <w:lang w:bidi="ar"/>
              </w:rPr>
              <w:t>。</w:t>
            </w:r>
          </w:p>
          <w:p w14:paraId="72119C15">
            <w:pPr>
              <w:pStyle w:val="3"/>
              <w:ind w:firstLine="440" w:firstLineChars="200"/>
              <w:rPr>
                <w:rFonts w:ascii="宋体" w:hAnsi="宋体" w:cs="宋体"/>
                <w:color w:val="auto"/>
                <w:kern w:val="0"/>
                <w:sz w:val="22"/>
                <w:szCs w:val="22"/>
                <w:highlight w:val="none"/>
                <w:lang w:bidi="ar"/>
              </w:rPr>
            </w:pPr>
            <w:r>
              <w:rPr>
                <w:rFonts w:hint="eastAsia" w:ascii="宋体" w:hAnsi="宋体" w:cs="宋体"/>
                <w:color w:val="auto"/>
                <w:kern w:val="0"/>
                <w:sz w:val="22"/>
                <w:szCs w:val="22"/>
                <w:highlight w:val="none"/>
                <w:lang w:bidi="ar"/>
              </w:rPr>
              <w:t>2.2.</w:t>
            </w:r>
            <w:r>
              <w:rPr>
                <w:rFonts w:ascii="宋体" w:hAnsi="宋体" w:cs="宋体"/>
                <w:color w:val="auto"/>
                <w:kern w:val="0"/>
                <w:sz w:val="22"/>
                <w:szCs w:val="22"/>
                <w:highlight w:val="none"/>
                <w:lang w:bidi="ar"/>
              </w:rPr>
              <w:t>11、支持对点云数据进行数据编辑、按照多种模式进行去噪、数据合并、数据重采样等功能</w:t>
            </w:r>
            <w:r>
              <w:rPr>
                <w:rFonts w:hint="eastAsia" w:ascii="宋体" w:hAnsi="宋体" w:cs="宋体"/>
                <w:color w:val="auto"/>
                <w:kern w:val="0"/>
                <w:sz w:val="22"/>
                <w:szCs w:val="22"/>
                <w:highlight w:val="none"/>
                <w:lang w:bidi="ar"/>
              </w:rPr>
              <w:t>。</w:t>
            </w:r>
          </w:p>
          <w:p w14:paraId="2E6E3B9D">
            <w:pPr>
              <w:pStyle w:val="3"/>
              <w:ind w:firstLine="440" w:firstLineChars="200"/>
              <w:rPr>
                <w:rFonts w:ascii="宋体" w:hAnsi="宋体" w:cs="宋体"/>
                <w:color w:val="auto"/>
                <w:kern w:val="0"/>
                <w:sz w:val="22"/>
                <w:szCs w:val="22"/>
                <w:highlight w:val="none"/>
                <w:u w:val="single"/>
                <w:lang w:bidi="ar"/>
              </w:rPr>
            </w:pPr>
            <w:r>
              <w:rPr>
                <w:rFonts w:ascii="宋体" w:hAnsi="宋体" w:cs="宋体"/>
                <w:color w:val="auto"/>
                <w:kern w:val="0"/>
                <w:sz w:val="22"/>
                <w:szCs w:val="22"/>
                <w:highlight w:val="none"/>
                <w:u w:val="single"/>
                <w:lang w:bidi="ar"/>
              </w:rPr>
              <w:t>★</w:t>
            </w:r>
            <w:r>
              <w:rPr>
                <w:rFonts w:hint="eastAsia" w:ascii="宋体" w:hAnsi="宋体" w:cs="宋体"/>
                <w:color w:val="auto"/>
                <w:kern w:val="0"/>
                <w:sz w:val="22"/>
                <w:szCs w:val="22"/>
                <w:highlight w:val="none"/>
                <w:u w:val="single"/>
                <w:lang w:bidi="ar"/>
              </w:rPr>
              <w:t>2.2.</w:t>
            </w:r>
            <w:r>
              <w:rPr>
                <w:rFonts w:ascii="宋体" w:hAnsi="宋体" w:cs="宋体"/>
                <w:color w:val="auto"/>
                <w:kern w:val="0"/>
                <w:sz w:val="22"/>
                <w:szCs w:val="22"/>
                <w:highlight w:val="none"/>
                <w:u w:val="single"/>
                <w:lang w:bidi="ar"/>
              </w:rPr>
              <w:t>12、软件支持二次开发，用户可自行编写自动化脚本，实现特殊定制化功能。</w:t>
            </w:r>
          </w:p>
          <w:p w14:paraId="3D5D35D9">
            <w:pPr>
              <w:pStyle w:val="3"/>
              <w:ind w:firstLine="440" w:firstLineChars="200"/>
              <w:rPr>
                <w:rFonts w:ascii="宋体" w:hAnsi="宋体" w:cs="宋体"/>
                <w:color w:val="auto"/>
                <w:kern w:val="0"/>
                <w:sz w:val="22"/>
                <w:szCs w:val="22"/>
                <w:highlight w:val="none"/>
                <w:lang w:bidi="ar"/>
              </w:rPr>
            </w:pPr>
            <w:r>
              <w:rPr>
                <w:rFonts w:ascii="宋体" w:hAnsi="宋体" w:cs="宋体"/>
                <w:color w:val="auto"/>
                <w:kern w:val="0"/>
                <w:sz w:val="22"/>
                <w:szCs w:val="22"/>
                <w:highlight w:val="none"/>
                <w:u w:val="single"/>
                <w:lang w:bidi="ar"/>
              </w:rPr>
              <w:t>★</w:t>
            </w:r>
            <w:r>
              <w:rPr>
                <w:rFonts w:hint="eastAsia" w:ascii="宋体" w:hAnsi="宋体" w:cs="宋体"/>
                <w:color w:val="auto"/>
                <w:kern w:val="0"/>
                <w:sz w:val="22"/>
                <w:szCs w:val="22"/>
                <w:highlight w:val="none"/>
                <w:u w:val="single"/>
                <w:lang w:bidi="ar"/>
              </w:rPr>
              <w:t>2.2.</w:t>
            </w:r>
            <w:r>
              <w:rPr>
                <w:rFonts w:ascii="宋体" w:hAnsi="宋体" w:cs="宋体"/>
                <w:color w:val="auto"/>
                <w:kern w:val="0"/>
                <w:sz w:val="22"/>
                <w:szCs w:val="22"/>
                <w:highlight w:val="none"/>
                <w:u w:val="single"/>
                <w:lang w:bidi="ar"/>
              </w:rPr>
              <w:t>13、</w:t>
            </w:r>
            <w:r>
              <w:rPr>
                <w:rFonts w:hint="eastAsia" w:ascii="宋体" w:hAnsi="宋体" w:cs="宋体"/>
                <w:color w:val="auto"/>
                <w:kern w:val="0"/>
                <w:sz w:val="22"/>
                <w:szCs w:val="22"/>
                <w:highlight w:val="none"/>
                <w:u w:val="single"/>
                <w:lang w:bidi="ar"/>
              </w:rPr>
              <w:t>供应商应保证</w:t>
            </w:r>
            <w:r>
              <w:rPr>
                <w:rFonts w:ascii="宋体" w:hAnsi="宋体" w:cs="宋体"/>
                <w:color w:val="auto"/>
                <w:kern w:val="0"/>
                <w:sz w:val="22"/>
                <w:szCs w:val="22"/>
                <w:highlight w:val="none"/>
                <w:u w:val="single"/>
                <w:lang w:bidi="ar"/>
              </w:rPr>
              <w:t>软硬件配套性及整体运行稳定性</w:t>
            </w:r>
            <w:r>
              <w:rPr>
                <w:rFonts w:hint="eastAsia" w:ascii="宋体" w:hAnsi="宋体" w:cs="宋体"/>
                <w:color w:val="auto"/>
                <w:kern w:val="0"/>
                <w:sz w:val="22"/>
                <w:szCs w:val="22"/>
                <w:highlight w:val="none"/>
                <w:u w:val="single"/>
                <w:lang w:bidi="ar"/>
              </w:rPr>
              <w:t>。供应商应保证软硬件配套性及整体运行稳定性，供应商应当提供能够证明软硬件数据联通性的证明材料，包括但不限于软件针对硬件的使用测试截图、软硬件为同一生产厂家的证明、软件能够直接读取或控制硬件的证明材料等。</w:t>
            </w:r>
          </w:p>
        </w:tc>
      </w:tr>
    </w:tbl>
    <w:p w14:paraId="01CD692B">
      <w:pPr>
        <w:spacing w:line="360" w:lineRule="exact"/>
        <w:jc w:val="left"/>
        <w:rPr>
          <w:rFonts w:hint="eastAsia" w:ascii="宋体" w:hAnsi="宋体" w:cs="宋体"/>
          <w:b/>
          <w:color w:val="auto"/>
          <w:sz w:val="22"/>
          <w:szCs w:val="22"/>
          <w:highlight w:val="none"/>
        </w:rPr>
      </w:pPr>
      <w:r>
        <w:rPr>
          <w:rStyle w:val="8"/>
          <w:rFonts w:hint="eastAsia" w:cs="宋体"/>
          <w:b/>
          <w:bCs/>
          <w:color w:val="auto"/>
          <w:sz w:val="22"/>
          <w:szCs w:val="22"/>
          <w:highlight w:val="none"/>
        </w:rPr>
        <w:t>三、</w:t>
      </w:r>
      <w:r>
        <w:rPr>
          <w:rFonts w:hint="eastAsia" w:ascii="宋体" w:hAnsi="宋体" w:cs="宋体"/>
          <w:b/>
          <w:color w:val="auto"/>
          <w:sz w:val="22"/>
          <w:szCs w:val="22"/>
          <w:highlight w:val="none"/>
        </w:rPr>
        <w:t>其他要求</w:t>
      </w:r>
    </w:p>
    <w:p w14:paraId="7461F7E5">
      <w:pPr>
        <w:widowControl/>
        <w:numPr>
          <w:ilvl w:val="0"/>
          <w:numId w:val="3"/>
        </w:numPr>
        <w:spacing w:line="360" w:lineRule="exact"/>
        <w:rPr>
          <w:rFonts w:hint="eastAsia" w:ascii="宋体" w:hAnsi="宋体" w:cs="宋体"/>
          <w:b/>
          <w:bCs/>
          <w:color w:val="auto"/>
          <w:sz w:val="22"/>
          <w:szCs w:val="22"/>
          <w:highlight w:val="none"/>
          <w:u w:val="single"/>
        </w:rPr>
      </w:pPr>
      <w:r>
        <w:rPr>
          <w:rFonts w:hint="eastAsia" w:ascii="宋体" w:hAnsi="宋体" w:cs="宋体"/>
          <w:b/>
          <w:bCs/>
          <w:color w:val="auto"/>
          <w:sz w:val="22"/>
          <w:szCs w:val="22"/>
          <w:highlight w:val="none"/>
          <w:u w:val="single"/>
        </w:rPr>
        <w:t>本项目为交钥匙项目，安装所需辅料及其它安装材料均根据现场条件自行核算，必须按采购文件描述的功能要求进行深化设计并进行完善设备材料清单，报价一次性包干，不作调整。成交供应商不得以任何理由增加该项报价。采购人清单中的货物如有遗漏必须的设备，请供应商自行配齐，成交后采购人将不予调整。</w:t>
      </w:r>
    </w:p>
    <w:p w14:paraId="2F738409">
      <w:pPr>
        <w:widowControl/>
        <w:numPr>
          <w:ilvl w:val="0"/>
          <w:numId w:val="3"/>
        </w:numPr>
        <w:spacing w:line="36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本次采购所有设备类产品要求全部部件均为原厂原装，供应商所报价的所有设备需有产地证明、装箱清单、技术说明书等。</w:t>
      </w:r>
    </w:p>
    <w:p w14:paraId="064E7A3C">
      <w:pPr>
        <w:widowControl/>
        <w:numPr>
          <w:ilvl w:val="0"/>
          <w:numId w:val="3"/>
        </w:numPr>
        <w:spacing w:line="360" w:lineRule="exact"/>
        <w:rPr>
          <w:rFonts w:hint="eastAsia" w:ascii="宋体" w:hAnsi="宋体" w:cs="宋体"/>
          <w:color w:val="auto"/>
          <w:sz w:val="22"/>
          <w:szCs w:val="22"/>
          <w:highlight w:val="none"/>
        </w:rPr>
      </w:pPr>
      <w:r>
        <w:rPr>
          <w:rFonts w:hint="eastAsia" w:ascii="宋体" w:hAnsi="宋体" w:cs="宋体"/>
          <w:color w:val="auto"/>
          <w:sz w:val="22"/>
          <w:szCs w:val="22"/>
          <w:highlight w:val="none"/>
          <w:u w:val="single"/>
          <w:lang w:val="zh-CN"/>
        </w:rPr>
        <w:t>采购人有权根据实际情况局部细微修改技术参数，投标价格不予调整。合同签订时成交供应商须和采购人再次确认技术参数</w:t>
      </w:r>
      <w:r>
        <w:rPr>
          <w:rFonts w:hint="eastAsia" w:ascii="宋体" w:hAnsi="宋体" w:cs="宋体"/>
          <w:b/>
          <w:bCs/>
          <w:color w:val="auto"/>
          <w:sz w:val="22"/>
          <w:szCs w:val="22"/>
          <w:highlight w:val="none"/>
          <w:u w:val="single"/>
        </w:rPr>
        <w:t>。</w:t>
      </w:r>
    </w:p>
    <w:p w14:paraId="7BD0F562">
      <w:pPr>
        <w:widowControl/>
        <w:numPr>
          <w:ilvl w:val="0"/>
          <w:numId w:val="3"/>
        </w:numPr>
        <w:spacing w:line="36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如采购内容及技术要求有所遗漏进而造成采购人不能正常使用，供应商须免费提供以上配置清单所需的所有配件并承担项目实施中产生的相关费用；</w:t>
      </w:r>
    </w:p>
    <w:p w14:paraId="4BC8A5B0">
      <w:pPr>
        <w:widowControl/>
        <w:numPr>
          <w:ilvl w:val="0"/>
          <w:numId w:val="3"/>
        </w:numPr>
        <w:spacing w:line="36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交货及完工进度保证</w:t>
      </w:r>
    </w:p>
    <w:p w14:paraId="1A77FC7E">
      <w:pPr>
        <w:spacing w:line="360" w:lineRule="exact"/>
        <w:ind w:left="420"/>
        <w:rPr>
          <w:rFonts w:hint="eastAsia" w:ascii="宋体" w:hAnsi="宋体" w:cs="宋体"/>
          <w:color w:val="auto"/>
          <w:sz w:val="22"/>
          <w:szCs w:val="22"/>
          <w:highlight w:val="none"/>
        </w:rPr>
      </w:pPr>
      <w:r>
        <w:rPr>
          <w:rFonts w:hint="eastAsia" w:ascii="宋体" w:hAnsi="宋体" w:cs="宋体"/>
          <w:color w:val="auto"/>
          <w:sz w:val="22"/>
          <w:szCs w:val="22"/>
          <w:highlight w:val="none"/>
        </w:rPr>
        <w:t>1）</w:t>
      </w:r>
      <w:r>
        <w:rPr>
          <w:rFonts w:hint="eastAsia" w:ascii="宋体" w:hAnsi="宋体" w:cs="宋体"/>
          <w:b/>
          <w:bCs/>
          <w:color w:val="auto"/>
          <w:sz w:val="22"/>
          <w:szCs w:val="22"/>
          <w:highlight w:val="none"/>
          <w:u w:val="single"/>
        </w:rPr>
        <w:t>交货时间：合同签订后，收到预付款后，40日历天内完成供货、安装并通过采购人验收。</w:t>
      </w:r>
    </w:p>
    <w:p w14:paraId="4EEA763D">
      <w:pPr>
        <w:spacing w:line="360" w:lineRule="exact"/>
        <w:ind w:left="420"/>
        <w:rPr>
          <w:rFonts w:hint="eastAsia" w:ascii="宋体" w:hAnsi="宋体" w:cs="宋体"/>
          <w:color w:val="auto"/>
          <w:sz w:val="22"/>
          <w:szCs w:val="22"/>
          <w:highlight w:val="none"/>
        </w:rPr>
      </w:pPr>
      <w:r>
        <w:rPr>
          <w:rFonts w:hint="eastAsia" w:ascii="宋体" w:hAnsi="宋体" w:cs="宋体"/>
          <w:color w:val="auto"/>
          <w:sz w:val="22"/>
          <w:szCs w:val="22"/>
          <w:highlight w:val="none"/>
        </w:rPr>
        <w:t>2）</w:t>
      </w:r>
      <w:r>
        <w:rPr>
          <w:rFonts w:hint="eastAsia" w:ascii="宋体" w:hAnsi="宋体" w:cs="宋体"/>
          <w:b/>
          <w:bCs/>
          <w:color w:val="auto"/>
          <w:sz w:val="22"/>
          <w:szCs w:val="22"/>
          <w:highlight w:val="none"/>
          <w:u w:val="single"/>
        </w:rPr>
        <w:t>交货地点：采购人指定地点。</w:t>
      </w:r>
    </w:p>
    <w:p w14:paraId="7AA9B8EE">
      <w:pPr>
        <w:spacing w:line="36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3）供应商须在投标文件技术标中针对本次采购制定详细的施工计划及供货安装计划，保证本次采购项目按时优质完成。</w:t>
      </w:r>
    </w:p>
    <w:p w14:paraId="1EC26BE0">
      <w:pPr>
        <w:widowControl/>
        <w:numPr>
          <w:ilvl w:val="0"/>
          <w:numId w:val="3"/>
        </w:numPr>
        <w:spacing w:line="36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提供资料要求</w:t>
      </w:r>
    </w:p>
    <w:p w14:paraId="209690F9">
      <w:pPr>
        <w:spacing w:line="36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1）根据上表，需原厂质保证明的产品，须在合同签订前提供针对该项目的原厂售后服务承诺函原件，且与所投产品必须一致。</w:t>
      </w:r>
    </w:p>
    <w:p w14:paraId="5DC01A9A">
      <w:pPr>
        <w:spacing w:line="360" w:lineRule="exact"/>
        <w:ind w:firstLine="440" w:firstLineChars="200"/>
        <w:rPr>
          <w:rFonts w:hint="eastAsia" w:ascii="宋体" w:hAnsi="宋体" w:cs="宋体"/>
          <w:color w:val="auto"/>
          <w:sz w:val="22"/>
          <w:szCs w:val="22"/>
          <w:highlight w:val="none"/>
        </w:rPr>
      </w:pPr>
      <w:r>
        <w:rPr>
          <w:rFonts w:hint="eastAsia" w:ascii="宋体" w:hAnsi="宋体" w:cs="宋体"/>
          <w:color w:val="auto"/>
          <w:sz w:val="22"/>
          <w:szCs w:val="22"/>
          <w:highlight w:val="none"/>
        </w:rPr>
        <w:t>2）在成交并签定合同后，成交供应商应根据采购人的要求，免费向采购人提交详细的相关技术资料。</w:t>
      </w:r>
    </w:p>
    <w:p w14:paraId="422C4817">
      <w:pPr>
        <w:spacing w:line="360" w:lineRule="exact"/>
        <w:ind w:left="420"/>
        <w:rPr>
          <w:rFonts w:hint="eastAsia" w:ascii="宋体" w:hAnsi="宋体" w:cs="宋体"/>
          <w:color w:val="auto"/>
          <w:sz w:val="22"/>
          <w:szCs w:val="22"/>
          <w:highlight w:val="none"/>
        </w:rPr>
      </w:pPr>
      <w:r>
        <w:rPr>
          <w:rFonts w:hint="eastAsia" w:ascii="宋体" w:hAnsi="宋体" w:cs="宋体"/>
          <w:color w:val="auto"/>
          <w:sz w:val="22"/>
          <w:szCs w:val="22"/>
          <w:highlight w:val="none"/>
        </w:rPr>
        <w:t>3）在供货时，成交供应商须向采购人提供产品的检验标准和检测报告、合格证书等。</w:t>
      </w:r>
    </w:p>
    <w:p w14:paraId="7CE9F65D">
      <w:pPr>
        <w:widowControl/>
        <w:numPr>
          <w:ilvl w:val="0"/>
          <w:numId w:val="3"/>
        </w:numPr>
        <w:spacing w:line="360" w:lineRule="exact"/>
        <w:rPr>
          <w:rFonts w:hint="eastAsia" w:ascii="宋体" w:hAnsi="宋体" w:cs="宋体"/>
          <w:color w:val="auto"/>
          <w:sz w:val="22"/>
          <w:szCs w:val="22"/>
          <w:highlight w:val="none"/>
        </w:rPr>
      </w:pPr>
      <w:r>
        <w:rPr>
          <w:rFonts w:hint="eastAsia" w:ascii="宋体" w:hAnsi="宋体" w:cs="宋体"/>
          <w:color w:val="auto"/>
          <w:sz w:val="22"/>
          <w:szCs w:val="22"/>
          <w:highlight w:val="none"/>
        </w:rPr>
        <w:t>产品的检验</w:t>
      </w:r>
    </w:p>
    <w:p w14:paraId="7ACCB08C">
      <w:pPr>
        <w:spacing w:line="360" w:lineRule="exact"/>
        <w:ind w:left="420"/>
        <w:rPr>
          <w:rFonts w:hint="eastAsia" w:ascii="宋体" w:hAnsi="宋体" w:cs="宋体"/>
          <w:color w:val="auto"/>
          <w:sz w:val="22"/>
          <w:szCs w:val="22"/>
          <w:highlight w:val="none"/>
        </w:rPr>
      </w:pPr>
      <w:r>
        <w:rPr>
          <w:rFonts w:hint="eastAsia" w:ascii="宋体" w:hAnsi="宋体" w:cs="宋体"/>
          <w:color w:val="auto"/>
          <w:sz w:val="22"/>
          <w:szCs w:val="22"/>
          <w:highlight w:val="none"/>
        </w:rPr>
        <w:t>1）成交供应商须按采购人的要求提供必要的技术数据和检验、试验报告。</w:t>
      </w:r>
    </w:p>
    <w:p w14:paraId="5B5E9F6C">
      <w:pPr>
        <w:spacing w:line="360" w:lineRule="exact"/>
        <w:ind w:firstLine="440" w:firstLineChars="200"/>
        <w:rPr>
          <w:rFonts w:ascii="宋体" w:hAnsi="宋体" w:cs="Arial"/>
          <w:color w:val="auto"/>
          <w:sz w:val="22"/>
          <w:szCs w:val="22"/>
          <w:highlight w:val="none"/>
        </w:rPr>
      </w:pPr>
      <w:r>
        <w:rPr>
          <w:rFonts w:hint="eastAsia" w:ascii="宋体" w:hAnsi="宋体" w:cs="宋体"/>
          <w:color w:val="auto"/>
          <w:sz w:val="22"/>
          <w:szCs w:val="22"/>
          <w:highlight w:val="none"/>
        </w:rPr>
        <w:t>2）成交供应商应派员在产品到交货地时进行到货验收。若发现任何损坏及质量问题，成交供应</w:t>
      </w:r>
      <w:r>
        <w:rPr>
          <w:rFonts w:hint="eastAsia" w:ascii="宋体" w:hAnsi="宋体" w:cs="Arial"/>
          <w:color w:val="auto"/>
          <w:sz w:val="22"/>
          <w:szCs w:val="22"/>
          <w:highlight w:val="none"/>
        </w:rPr>
        <w:t>商应负责更换，并妥善处理直至采购人满意，由此发生的一切费用由成交供应商负责承担。</w:t>
      </w:r>
    </w:p>
    <w:p w14:paraId="07DB7335">
      <w:pPr>
        <w:widowControl/>
        <w:numPr>
          <w:ilvl w:val="0"/>
          <w:numId w:val="3"/>
        </w:numPr>
        <w:spacing w:line="360" w:lineRule="exact"/>
        <w:rPr>
          <w:rFonts w:ascii="宋体" w:hAnsi="宋体" w:cs="Arial"/>
          <w:color w:val="auto"/>
          <w:sz w:val="22"/>
          <w:szCs w:val="22"/>
          <w:highlight w:val="none"/>
        </w:rPr>
      </w:pPr>
      <w:r>
        <w:rPr>
          <w:rFonts w:hint="eastAsia" w:ascii="宋体" w:hAnsi="宋体" w:cs="Arial"/>
          <w:color w:val="auto"/>
          <w:sz w:val="22"/>
          <w:szCs w:val="22"/>
          <w:highlight w:val="none"/>
        </w:rPr>
        <w:t>质量保证</w:t>
      </w:r>
    </w:p>
    <w:p w14:paraId="75A1CEE4">
      <w:pPr>
        <w:pStyle w:val="3"/>
        <w:ind w:firstLine="440" w:firstLineChars="200"/>
        <w:rPr>
          <w:rFonts w:hint="eastAsia" w:ascii="宋体" w:hAnsi="宋体" w:cs="宋体"/>
          <w:bCs/>
          <w:color w:val="auto"/>
          <w:sz w:val="22"/>
          <w:szCs w:val="22"/>
          <w:highlight w:val="none"/>
        </w:rPr>
      </w:pPr>
      <w:r>
        <w:rPr>
          <w:rFonts w:hint="eastAsia" w:ascii="宋体" w:hAnsi="宋体" w:cs="宋体"/>
          <w:bCs/>
          <w:color w:val="auto"/>
          <w:sz w:val="22"/>
          <w:szCs w:val="22"/>
          <w:highlight w:val="none"/>
        </w:rPr>
        <w:t>1）预计使用年限：</w:t>
      </w:r>
      <w:r>
        <w:rPr>
          <w:rFonts w:hint="eastAsia" w:ascii="宋体" w:hAnsi="宋体" w:cs="宋体"/>
          <w:color w:val="auto"/>
          <w:kern w:val="0"/>
          <w:sz w:val="22"/>
          <w:szCs w:val="22"/>
          <w:highlight w:val="none"/>
        </w:rPr>
        <w:t>十年。</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14:paraId="39334172">
      <w:pPr>
        <w:pStyle w:val="3"/>
        <w:ind w:firstLine="440" w:firstLineChars="200"/>
        <w:rPr>
          <w:rFonts w:hint="eastAsia" w:ascii="宋体" w:hAnsi="宋体" w:cs="宋体"/>
          <w:bCs/>
          <w:color w:val="auto"/>
          <w:sz w:val="22"/>
          <w:szCs w:val="22"/>
          <w:highlight w:val="none"/>
        </w:rPr>
      </w:pPr>
      <w:r>
        <w:rPr>
          <w:rFonts w:hint="eastAsia" w:ascii="宋体" w:hAnsi="宋体" w:cs="宋体"/>
          <w:bCs/>
          <w:color w:val="auto"/>
          <w:sz w:val="22"/>
          <w:szCs w:val="22"/>
          <w:highlight w:val="none"/>
        </w:rPr>
        <w:t>2）所有设备提供至少3年免费质保期。7*24小时免费上门维修服务；同时应承诺对所有设备负责终身维修；在质保期内，供应商应负责对其提供的设备进行现场维修、损坏件更换，不收取额外费用。质保期外，供货商应长期负责有偿优惠维修。</w:t>
      </w:r>
    </w:p>
    <w:p w14:paraId="4D191937">
      <w:pPr>
        <w:pStyle w:val="3"/>
        <w:ind w:firstLine="440" w:firstLineChars="200"/>
        <w:rPr>
          <w:rFonts w:hint="eastAsia" w:ascii="宋体" w:hAnsi="宋体" w:cs="宋体"/>
          <w:bCs/>
          <w:color w:val="auto"/>
          <w:sz w:val="22"/>
          <w:szCs w:val="22"/>
          <w:highlight w:val="none"/>
        </w:rPr>
      </w:pPr>
      <w:r>
        <w:rPr>
          <w:rFonts w:hint="eastAsia" w:ascii="宋体" w:hAnsi="宋体" w:cs="宋体"/>
          <w:bCs/>
          <w:color w:val="auto"/>
          <w:sz w:val="22"/>
          <w:szCs w:val="22"/>
          <w:highlight w:val="none"/>
        </w:rPr>
        <w:t>3）质量保修期内，要求供应商7×24小时电话响应技术咨询。</w:t>
      </w:r>
    </w:p>
    <w:p w14:paraId="3108B271">
      <w:pPr>
        <w:pStyle w:val="3"/>
        <w:ind w:firstLine="440" w:firstLineChars="200"/>
        <w:rPr>
          <w:rFonts w:hint="eastAsia" w:ascii="宋体" w:hAnsi="宋体" w:cs="宋体"/>
          <w:bCs/>
          <w:color w:val="auto"/>
          <w:sz w:val="22"/>
          <w:szCs w:val="22"/>
          <w:highlight w:val="none"/>
        </w:rPr>
      </w:pPr>
      <w:r>
        <w:rPr>
          <w:rFonts w:hint="eastAsia" w:ascii="宋体" w:hAnsi="宋体" w:cs="宋体"/>
          <w:bCs/>
          <w:color w:val="auto"/>
          <w:sz w:val="22"/>
          <w:szCs w:val="22"/>
          <w:highlight w:val="none"/>
        </w:rPr>
        <w:t>4）供应商有义务对采购人采购设备的正常使用和维护提供必要的培训，并且所有培训都必须是免费的（包括交通费、食宿费、培训费等）；培训的内容包括主要设备和软件的安装、使用、配置管理、性能优化以及硬件基本维护知识；</w:t>
      </w:r>
    </w:p>
    <w:p w14:paraId="62431D17">
      <w:pPr>
        <w:widowControl/>
        <w:numPr>
          <w:ilvl w:val="0"/>
          <w:numId w:val="3"/>
        </w:numPr>
        <w:spacing w:line="360" w:lineRule="exact"/>
        <w:rPr>
          <w:rFonts w:ascii="宋体" w:hAnsi="宋体" w:cs="Arial"/>
          <w:color w:val="auto"/>
          <w:sz w:val="22"/>
          <w:szCs w:val="22"/>
          <w:highlight w:val="none"/>
        </w:rPr>
      </w:pPr>
      <w:r>
        <w:rPr>
          <w:rFonts w:ascii="宋体" w:hAnsi="宋体" w:cs="Arial"/>
          <w:color w:val="auto"/>
          <w:sz w:val="22"/>
          <w:szCs w:val="22"/>
          <w:highlight w:val="none"/>
        </w:rPr>
        <w:t>结合本次采购设备，为高校</w:t>
      </w:r>
      <w:r>
        <w:rPr>
          <w:rFonts w:hint="eastAsia" w:ascii="宋体" w:hAnsi="宋体" w:cs="Arial"/>
          <w:color w:val="auto"/>
          <w:sz w:val="22"/>
          <w:szCs w:val="22"/>
          <w:highlight w:val="none"/>
        </w:rPr>
        <w:t>相关</w:t>
      </w:r>
      <w:r>
        <w:rPr>
          <w:rFonts w:ascii="宋体" w:hAnsi="宋体" w:cs="Arial"/>
          <w:color w:val="auto"/>
          <w:sz w:val="22"/>
          <w:szCs w:val="22"/>
          <w:highlight w:val="none"/>
        </w:rPr>
        <w:t>科研工作提供技术支撑与配套服务，具体以投标承诺为准。</w:t>
      </w:r>
    </w:p>
    <w:p w14:paraId="659C2709">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190DE0"/>
    <w:multiLevelType w:val="multilevel"/>
    <w:tmpl w:val="8E190DE0"/>
    <w:lvl w:ilvl="0" w:tentative="0">
      <w:start w:val="1"/>
      <w:numFmt w:val="decimal"/>
      <w:lvlText w:val="%1."/>
      <w:lvlJc w:val="left"/>
      <w:pPr>
        <w:tabs>
          <w:tab w:val="left" w:pos="432"/>
        </w:tabs>
        <w:ind w:left="432" w:hanging="432"/>
      </w:pPr>
      <w:rPr>
        <w:rFonts w:hint="default"/>
      </w:rPr>
    </w:lvl>
    <w:lvl w:ilvl="1" w:tentative="0">
      <w:start w:val="1"/>
      <w:numFmt w:val="decimal"/>
      <w:lvlText w:val="%1.%2"/>
      <w:lvlJc w:val="left"/>
      <w:pPr>
        <w:tabs>
          <w:tab w:val="left" w:pos="576"/>
        </w:tabs>
        <w:ind w:left="576" w:hanging="576"/>
      </w:pPr>
      <w:rPr>
        <w:rFonts w:hint="eastAsia"/>
      </w:rPr>
    </w:lvl>
    <w:lvl w:ilvl="2" w:tentative="0">
      <w:start w:val="1"/>
      <w:numFmt w:val="none"/>
      <w:lvlText w:val="%1"/>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
    <w:nsid w:val="B2C7C114"/>
    <w:multiLevelType w:val="singleLevel"/>
    <w:tmpl w:val="B2C7C114"/>
    <w:lvl w:ilvl="0" w:tentative="0">
      <w:start w:val="2"/>
      <w:numFmt w:val="chineseCounting"/>
      <w:suff w:val="nothing"/>
      <w:lvlText w:val="%1、"/>
      <w:lvlJc w:val="left"/>
      <w:rPr>
        <w:rFonts w:hint="eastAsia"/>
      </w:rPr>
    </w:lvl>
  </w:abstractNum>
  <w:abstractNum w:abstractNumId="2">
    <w:nsid w:val="14F41327"/>
    <w:multiLevelType w:val="multilevel"/>
    <w:tmpl w:val="14F41327"/>
    <w:lvl w:ilvl="0" w:tentative="0">
      <w:start w:val="1"/>
      <w:numFmt w:val="decimal"/>
      <w:lvlText w:val="%1."/>
      <w:lvlJc w:val="left"/>
      <w:pPr>
        <w:tabs>
          <w:tab w:val="left" w:pos="420"/>
        </w:tabs>
        <w:ind w:left="420" w:hanging="420"/>
      </w:pPr>
      <w:rPr>
        <w:rFonts w:hint="eastAsia" w:ascii="宋体" w:hAnsi="宋体" w:eastAsia="宋体"/>
      </w:rPr>
    </w:lvl>
    <w:lvl w:ilvl="1" w:tentative="0">
      <w:start w:val="0"/>
      <w:numFmt w:val="none"/>
      <w:lvlText w:val="%2."/>
      <w:lvlJc w:val="left"/>
      <w:pPr>
        <w:tabs>
          <w:tab w:val="left" w:pos="1440"/>
        </w:tabs>
        <w:ind w:left="1440" w:hanging="360"/>
      </w:pPr>
    </w:lvl>
    <w:lvl w:ilvl="2" w:tentative="0">
      <w:start w:val="0"/>
      <w:numFmt w:val="none"/>
      <w:lvlText w:val="%3."/>
      <w:lvlJc w:val="left"/>
      <w:pPr>
        <w:tabs>
          <w:tab w:val="left" w:pos="2160"/>
        </w:tabs>
        <w:ind w:left="2160" w:hanging="360"/>
      </w:pPr>
    </w:lvl>
    <w:lvl w:ilvl="3" w:tentative="0">
      <w:start w:val="0"/>
      <w:numFmt w:val="none"/>
      <w:lvlText w:val="%4."/>
      <w:lvlJc w:val="left"/>
      <w:pPr>
        <w:tabs>
          <w:tab w:val="left" w:pos="2880"/>
        </w:tabs>
        <w:ind w:left="2880" w:hanging="360"/>
      </w:pPr>
    </w:lvl>
    <w:lvl w:ilvl="4" w:tentative="0">
      <w:start w:val="0"/>
      <w:numFmt w:val="none"/>
      <w:lvlText w:val="%5."/>
      <w:lvlJc w:val="left"/>
      <w:pPr>
        <w:tabs>
          <w:tab w:val="left" w:pos="3600"/>
        </w:tabs>
        <w:ind w:left="3600" w:hanging="360"/>
      </w:pPr>
    </w:lvl>
    <w:lvl w:ilvl="5" w:tentative="0">
      <w:start w:val="0"/>
      <w:numFmt w:val="none"/>
      <w:lvlText w:val="%6."/>
      <w:lvlJc w:val="left"/>
      <w:pPr>
        <w:tabs>
          <w:tab w:val="left" w:pos="4320"/>
        </w:tabs>
        <w:ind w:left="4320" w:hanging="360"/>
      </w:pPr>
    </w:lvl>
    <w:lvl w:ilvl="6" w:tentative="0">
      <w:start w:val="0"/>
      <w:numFmt w:val="none"/>
      <w:lvlText w:val="%7."/>
      <w:lvlJc w:val="left"/>
      <w:pPr>
        <w:tabs>
          <w:tab w:val="left" w:pos="5040"/>
        </w:tabs>
        <w:ind w:left="5040" w:hanging="360"/>
      </w:pPr>
    </w:lvl>
    <w:lvl w:ilvl="7" w:tentative="0">
      <w:start w:val="0"/>
      <w:numFmt w:val="none"/>
      <w:lvlText w:val="%8."/>
      <w:lvlJc w:val="left"/>
      <w:pPr>
        <w:tabs>
          <w:tab w:val="left" w:pos="5760"/>
        </w:tabs>
        <w:ind w:left="5760" w:hanging="360"/>
      </w:pPr>
    </w:lvl>
    <w:lvl w:ilvl="8" w:tentative="0">
      <w:start w:val="0"/>
      <w:numFmt w:val="none"/>
      <w:lvlText w:val="%9."/>
      <w:lvlJc w:val="left"/>
      <w:pPr>
        <w:tabs>
          <w:tab w:val="left" w:pos="6480"/>
        </w:tabs>
        <w:ind w:left="6480" w:hanging="360"/>
      </w:pPr>
    </w:lvl>
  </w:abstractNum>
  <w:num w:numId="1">
    <w:abstractNumId w:val="0"/>
  </w:num>
  <w:num w:numId="2">
    <w:abstractNumId w:val="1"/>
  </w:num>
  <w:num w:numId="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BD7527"/>
    <w:rsid w:val="1FBD7527"/>
    <w:rsid w:val="35622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2"/>
    <w:basedOn w:val="1"/>
    <w:next w:val="1"/>
    <w:qFormat/>
    <w:uiPriority w:val="0"/>
    <w:pPr>
      <w:keepLines/>
      <w:adjustRightInd w:val="0"/>
      <w:spacing w:before="240" w:after="120" w:line="240" w:lineRule="atLeast"/>
      <w:textAlignment w:val="baseline"/>
      <w:outlineLvl w:val="1"/>
    </w:pPr>
    <w:rPr>
      <w:rFonts w:ascii="Times New Roman" w:hAnsi="Times New Roman" w:eastAsia="黑体" w:cs="Times New Roman"/>
      <w:b/>
      <w:kern w:val="0"/>
      <w:sz w:val="32"/>
      <w:szCs w:val="20"/>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rPr>
      <w:rFonts w:ascii="Times New Roman" w:hAnsi="Times New Roman" w:eastAsia="宋体" w:cs="Times New Roman"/>
    </w:rPr>
  </w:style>
  <w:style w:type="paragraph" w:styleId="3">
    <w:name w:val="Body Text First Indent"/>
    <w:basedOn w:val="2"/>
    <w:next w:val="4"/>
    <w:qFormat/>
    <w:uiPriority w:val="0"/>
    <w:pPr>
      <w:ind w:firstLine="420" w:firstLineChars="100"/>
    </w:pPr>
    <w:rPr>
      <w:rFonts w:ascii="Times New Roman" w:hAnsi="Times New Roman" w:eastAsia="宋体" w:cs="Times New Roman"/>
    </w:rPr>
  </w:style>
  <w:style w:type="paragraph" w:styleId="4">
    <w:name w:val="toc 6"/>
    <w:basedOn w:val="1"/>
    <w:next w:val="1"/>
    <w:qFormat/>
    <w:uiPriority w:val="0"/>
    <w:pPr>
      <w:ind w:left="1050"/>
    </w:pPr>
    <w:rPr>
      <w:rFonts w:ascii="Times New Roman" w:hAnsi="Times New Roman" w:eastAsia="宋体" w:cs="Times New Roman"/>
      <w:sz w:val="18"/>
    </w:rPr>
  </w:style>
  <w:style w:type="character" w:customStyle="1" w:styleId="8">
    <w:name w:val="area_1"/>
    <w:qFormat/>
    <w:uiPriority w:val="0"/>
    <w:rPr>
      <w:rFonts w:ascii="宋体" w:hAnsi="宋体" w:eastAsia="宋体" w:cs="Times New Roman"/>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3332</Words>
  <Characters>3698</Characters>
  <Lines>0</Lines>
  <Paragraphs>0</Paragraphs>
  <TotalTime>0</TotalTime>
  <ScaleCrop>false</ScaleCrop>
  <LinksUpToDate>false</LinksUpToDate>
  <CharactersWithSpaces>3729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2026-04-29T04:05:00Z</dcterms:created>
  <dc:creator>敏</dc:creator>
  <cp:lastModifiedBy>敏</cp:lastModifiedBy>
  <dcterms:modified xsi:type="dcterms:W3CDTF">2026-04-29T05:05:51Z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59CDFFE3C5E2421AA038E354239B3B03_11</vt:lpwstr>
  </property>
  <property fmtid="{D5CDD505-2E9C-101B-9397-08002B2CF9AE}" pid="4" name="KSOTemplateDocerSaveRecord">
    <vt:lpwstr>eyJoZGlkIjoiZDMzODcwZTI1MmYxY2QwY2FkNzYzMGZiMzMzOTA5YjUiLCJ1c2VySWQiOiI1MTM0NzgyOTQifQ==</vt:lpwstr>
  </property>
</Properties>
</file>