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07F4E">
      <w:pPr>
        <w:numPr>
          <w:ilvl w:val="0"/>
          <w:numId w:val="1"/>
        </w:numPr>
        <w:spacing w:line="400" w:lineRule="exact"/>
        <w:jc w:val="center"/>
        <w:outlineLvl w:val="0"/>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采购需求</w:t>
      </w:r>
    </w:p>
    <w:p w14:paraId="23C0C339">
      <w:pPr>
        <w:spacing w:line="360" w:lineRule="auto"/>
        <w:rPr>
          <w:rFonts w:hint="eastAsia" w:ascii="宋体" w:hAnsi="宋体" w:cs="宋体"/>
          <w:b/>
          <w:bCs/>
          <w:color w:val="auto"/>
          <w:spacing w:val="4"/>
          <w:szCs w:val="32"/>
          <w:highlight w:val="none"/>
        </w:rPr>
      </w:pPr>
      <w:bookmarkStart w:id="0" w:name="_Toc423080675"/>
      <w:bookmarkStart w:id="1" w:name="_Toc82338235"/>
      <w:bookmarkStart w:id="2" w:name="_Toc82873318"/>
    </w:p>
    <w:p w14:paraId="11497FB6">
      <w:pPr>
        <w:spacing w:line="360" w:lineRule="auto"/>
        <w:rPr>
          <w:rFonts w:ascii="宋体" w:hAnsi="宋体" w:cs="宋体"/>
          <w:b/>
          <w:bCs/>
          <w:color w:val="auto"/>
          <w:spacing w:val="4"/>
          <w:szCs w:val="32"/>
          <w:highlight w:val="none"/>
        </w:rPr>
      </w:pPr>
      <w:r>
        <w:rPr>
          <w:rFonts w:hint="eastAsia" w:ascii="宋体" w:hAnsi="宋体" w:cs="宋体"/>
          <w:b/>
          <w:bCs/>
          <w:color w:val="auto"/>
          <w:spacing w:val="4"/>
          <w:szCs w:val="32"/>
          <w:highlight w:val="none"/>
        </w:rPr>
        <w:t>一、技术标准、行业规范（不限于以下）</w:t>
      </w:r>
      <w:bookmarkEnd w:id="0"/>
    </w:p>
    <w:p w14:paraId="777F6902">
      <w:pPr>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1、国家规定的标准及规范，按最新的标准及规范执行。</w:t>
      </w:r>
    </w:p>
    <w:p w14:paraId="6D0B1332">
      <w:pPr>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2、行业标准及规范，按最新的标准及规范执行。</w:t>
      </w:r>
    </w:p>
    <w:p w14:paraId="23102335">
      <w:pPr>
        <w:snapToGrid w:val="0"/>
        <w:spacing w:line="360" w:lineRule="auto"/>
        <w:ind w:firstLine="420" w:firstLineChars="200"/>
        <w:rPr>
          <w:rFonts w:ascii="宋体" w:hAnsi="宋体" w:cs="宋体"/>
          <w:color w:val="auto"/>
          <w:highlight w:val="none"/>
        </w:rPr>
      </w:pPr>
      <w:bookmarkStart w:id="3" w:name="_Toc423080676"/>
      <w:r>
        <w:rPr>
          <w:rFonts w:hint="eastAsia" w:ascii="宋体" w:hAnsi="宋体" w:cs="宋体"/>
          <w:color w:val="auto"/>
          <w:highlight w:val="none"/>
        </w:rPr>
        <w:t>3、与本项目有关的产品、服务质量应符合中华人民共和国及产品品牌所在国的有关质量标准，上述标准如有不一致，执行两者中更严格的标准。</w:t>
      </w:r>
    </w:p>
    <w:p w14:paraId="2B85910D">
      <w:pPr>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4、其它相关标准及规范，按最新的标准及规范执行。</w:t>
      </w:r>
    </w:p>
    <w:p w14:paraId="607A12BB">
      <w:pPr>
        <w:spacing w:line="360" w:lineRule="auto"/>
        <w:rPr>
          <w:rFonts w:ascii="宋体" w:hAnsi="宋体" w:cs="宋体"/>
          <w:b/>
          <w:bCs/>
          <w:color w:val="auto"/>
          <w:spacing w:val="4"/>
          <w:szCs w:val="32"/>
          <w:highlight w:val="none"/>
        </w:rPr>
      </w:pPr>
      <w:r>
        <w:rPr>
          <w:rFonts w:hint="eastAsia" w:ascii="宋体" w:hAnsi="宋体" w:cs="宋体"/>
          <w:b/>
          <w:bCs/>
          <w:color w:val="auto"/>
          <w:spacing w:val="4"/>
          <w:szCs w:val="32"/>
          <w:highlight w:val="none"/>
        </w:rPr>
        <w:t>二、</w:t>
      </w:r>
      <w:bookmarkEnd w:id="1"/>
      <w:bookmarkEnd w:id="2"/>
      <w:r>
        <w:rPr>
          <w:rFonts w:hint="eastAsia" w:ascii="宋体" w:hAnsi="宋体" w:cs="宋体"/>
          <w:b/>
          <w:bCs/>
          <w:color w:val="auto"/>
          <w:spacing w:val="4"/>
          <w:szCs w:val="32"/>
          <w:highlight w:val="none"/>
        </w:rPr>
        <w:t>通用技术要求</w:t>
      </w:r>
      <w:bookmarkEnd w:id="3"/>
    </w:p>
    <w:p w14:paraId="78D5A2CB">
      <w:pPr>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各</w:t>
      </w:r>
      <w:r>
        <w:rPr>
          <w:rFonts w:hint="eastAsia" w:ascii="宋体" w:hAnsi="宋体" w:cs="宋体"/>
          <w:color w:val="auto"/>
          <w:highlight w:val="none"/>
          <w:lang w:eastAsia="zh-CN"/>
        </w:rPr>
        <w:t>供应商</w:t>
      </w:r>
      <w:r>
        <w:rPr>
          <w:rFonts w:hint="eastAsia" w:ascii="宋体" w:hAnsi="宋体" w:cs="宋体"/>
          <w:color w:val="auto"/>
          <w:highlight w:val="none"/>
        </w:rPr>
        <w:t>须按国家有关标准及规范完成采购文件规定的所有工作内容：</w:t>
      </w:r>
    </w:p>
    <w:p w14:paraId="29B2B62E">
      <w:pPr>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1、提供符合要求的产品并履行所有规定服务；</w:t>
      </w:r>
    </w:p>
    <w:p w14:paraId="17D315EF">
      <w:pPr>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2、产品及服务须达到采购文件规定的质量标准及使用要求。</w:t>
      </w:r>
    </w:p>
    <w:p w14:paraId="6AA89695">
      <w:pPr>
        <w:spacing w:line="360" w:lineRule="auto"/>
        <w:rPr>
          <w:rFonts w:hint="default" w:ascii="宋体" w:hAnsi="宋体" w:eastAsia="宋体" w:cs="宋体"/>
          <w:b/>
          <w:bCs/>
          <w:color w:val="auto"/>
          <w:spacing w:val="4"/>
          <w:szCs w:val="32"/>
          <w:highlight w:val="none"/>
          <w:lang w:val="en-US" w:eastAsia="zh-CN"/>
        </w:rPr>
      </w:pPr>
      <w:r>
        <w:rPr>
          <w:rFonts w:hint="eastAsia" w:ascii="宋体" w:hAnsi="宋体" w:eastAsia="宋体" w:cs="宋体"/>
          <w:b/>
          <w:bCs/>
          <w:color w:val="auto"/>
          <w:spacing w:val="4"/>
          <w:szCs w:val="32"/>
          <w:highlight w:val="none"/>
          <w:lang w:val="en-US" w:eastAsia="zh-CN"/>
        </w:rPr>
        <w:t>三、基本技术要求</w:t>
      </w:r>
    </w:p>
    <w:p w14:paraId="0C7F45AE">
      <w:pPr>
        <w:numPr>
          <w:ilvl w:val="0"/>
          <w:numId w:val="0"/>
        </w:numPr>
        <w:snapToGrid w:val="0"/>
        <w:spacing w:line="360" w:lineRule="auto"/>
        <w:ind w:left="0" w:leftChars="0" w:firstLine="422" w:firstLineChars="200"/>
        <w:rPr>
          <w:rFonts w:hint="eastAsia" w:ascii="宋体" w:hAnsi="宋体" w:eastAsia="宋体" w:cs="宋体"/>
          <w:b/>
          <w:bCs/>
          <w:sz w:val="21"/>
          <w:szCs w:val="24"/>
          <w:highlight w:val="none"/>
          <w:lang w:val="en-US" w:eastAsia="zh-CN"/>
        </w:rPr>
      </w:pPr>
      <w:r>
        <w:rPr>
          <w:rFonts w:hint="eastAsia" w:ascii="宋体" w:hAnsi="宋体" w:cs="宋体"/>
          <w:b/>
          <w:bCs/>
          <w:sz w:val="21"/>
          <w:szCs w:val="24"/>
          <w:highlight w:val="none"/>
          <w:lang w:val="en-US" w:eastAsia="zh-CN"/>
        </w:rPr>
        <w:t>1、</w:t>
      </w:r>
      <w:r>
        <w:rPr>
          <w:rFonts w:hint="eastAsia" w:ascii="宋体" w:hAnsi="宋体" w:eastAsia="宋体" w:cs="宋体"/>
          <w:b/>
          <w:bCs/>
          <w:sz w:val="21"/>
          <w:szCs w:val="24"/>
          <w:highlight w:val="none"/>
          <w:lang w:val="en-US" w:eastAsia="zh-CN"/>
        </w:rPr>
        <w:t>信息系统集成</w:t>
      </w:r>
    </w:p>
    <w:p w14:paraId="75825031">
      <w:pPr>
        <w:numPr>
          <w:ilvl w:val="0"/>
          <w:numId w:val="0"/>
        </w:numPr>
        <w:snapToGrid w:val="0"/>
        <w:spacing w:line="360" w:lineRule="auto"/>
        <w:ind w:left="0" w:leftChars="0" w:firstLine="420" w:firstLineChars="200"/>
        <w:rPr>
          <w:rFonts w:hint="default" w:ascii="宋体" w:hAnsi="宋体" w:eastAsia="宋体" w:cs="宋体"/>
          <w:b w:val="0"/>
          <w:bCs w:val="0"/>
          <w:sz w:val="21"/>
          <w:szCs w:val="24"/>
          <w:highlight w:val="none"/>
          <w:u w:val="none"/>
          <w:lang w:val="en-US" w:eastAsia="zh-CN"/>
        </w:rPr>
      </w:pPr>
      <w:r>
        <w:rPr>
          <w:rFonts w:hint="eastAsia" w:ascii="宋体" w:hAnsi="宋体" w:cs="宋体"/>
          <w:b w:val="0"/>
          <w:bCs w:val="0"/>
          <w:sz w:val="21"/>
          <w:szCs w:val="24"/>
          <w:highlight w:val="none"/>
          <w:u w:val="none"/>
          <w:lang w:val="en-US" w:eastAsia="zh-CN"/>
        </w:rPr>
        <w:t>供应商必须提供</w:t>
      </w:r>
      <w:r>
        <w:rPr>
          <w:rFonts w:hint="eastAsia" w:ascii="宋体" w:hAnsi="宋体" w:eastAsia="宋体" w:cs="宋体"/>
          <w:b w:val="0"/>
          <w:bCs w:val="0"/>
          <w:sz w:val="21"/>
          <w:szCs w:val="24"/>
          <w:highlight w:val="none"/>
          <w:u w:val="none"/>
          <w:lang w:val="en-US" w:eastAsia="zh-CN"/>
        </w:rPr>
        <w:t>与</w:t>
      </w:r>
      <w:r>
        <w:rPr>
          <w:rFonts w:hint="eastAsia" w:ascii="宋体" w:hAnsi="宋体" w:cs="宋体"/>
          <w:b w:val="0"/>
          <w:bCs w:val="0"/>
          <w:sz w:val="21"/>
          <w:szCs w:val="24"/>
          <w:highlight w:val="none"/>
          <w:u w:val="none"/>
          <w:lang w:val="en-US" w:eastAsia="zh-CN"/>
        </w:rPr>
        <w:t>采购人</w:t>
      </w:r>
      <w:r>
        <w:rPr>
          <w:rFonts w:hint="eastAsia" w:ascii="宋体" w:hAnsi="宋体" w:eastAsia="宋体" w:cs="宋体"/>
          <w:b w:val="0"/>
          <w:bCs w:val="0"/>
          <w:sz w:val="21"/>
          <w:szCs w:val="24"/>
          <w:highlight w:val="none"/>
          <w:u w:val="none"/>
          <w:lang w:val="en-US" w:eastAsia="zh-CN"/>
        </w:rPr>
        <w:t>现有的门户、统一身份认证</w:t>
      </w:r>
      <w:r>
        <w:rPr>
          <w:rFonts w:hint="eastAsia" w:ascii="宋体" w:hAnsi="宋体" w:cs="宋体"/>
          <w:b w:val="0"/>
          <w:bCs w:val="0"/>
          <w:sz w:val="21"/>
          <w:szCs w:val="24"/>
          <w:highlight w:val="none"/>
          <w:u w:val="none"/>
          <w:lang w:val="en-US" w:eastAsia="zh-CN"/>
        </w:rPr>
        <w:t>、身份中台</w:t>
      </w:r>
      <w:r>
        <w:rPr>
          <w:rFonts w:hint="eastAsia" w:ascii="宋体" w:hAnsi="宋体" w:eastAsia="宋体" w:cs="宋体"/>
          <w:b w:val="0"/>
          <w:bCs w:val="0"/>
          <w:sz w:val="21"/>
          <w:szCs w:val="24"/>
          <w:highlight w:val="none"/>
          <w:u w:val="none"/>
          <w:lang w:val="en-US" w:eastAsia="zh-CN"/>
        </w:rPr>
        <w:t>、数据中台、</w:t>
      </w:r>
      <w:r>
        <w:rPr>
          <w:rFonts w:hint="eastAsia" w:ascii="宋体" w:hAnsi="宋体" w:cs="宋体"/>
          <w:b w:val="0"/>
          <w:bCs w:val="0"/>
          <w:sz w:val="21"/>
          <w:szCs w:val="24"/>
          <w:highlight w:val="none"/>
          <w:u w:val="none"/>
          <w:lang w:val="en-US" w:eastAsia="zh-CN"/>
        </w:rPr>
        <w:t>统一</w:t>
      </w:r>
      <w:r>
        <w:rPr>
          <w:rFonts w:hint="eastAsia" w:ascii="宋体" w:hAnsi="宋体" w:eastAsia="宋体" w:cs="宋体"/>
          <w:b w:val="0"/>
          <w:bCs w:val="0"/>
          <w:sz w:val="21"/>
          <w:szCs w:val="24"/>
          <w:highlight w:val="none"/>
          <w:u w:val="none"/>
          <w:lang w:val="en-US" w:eastAsia="zh-CN"/>
        </w:rPr>
        <w:t>消息中心</w:t>
      </w:r>
      <w:r>
        <w:rPr>
          <w:rFonts w:hint="eastAsia" w:ascii="宋体" w:hAnsi="宋体" w:cs="宋体"/>
          <w:b w:val="0"/>
          <w:bCs w:val="0"/>
          <w:sz w:val="21"/>
          <w:szCs w:val="24"/>
          <w:highlight w:val="none"/>
          <w:u w:val="none"/>
          <w:lang w:val="en-US" w:eastAsia="zh-CN"/>
        </w:rPr>
        <w:t>、钉钉平台、电子签章系统</w:t>
      </w:r>
      <w:r>
        <w:rPr>
          <w:rFonts w:hint="eastAsia" w:ascii="宋体" w:hAnsi="宋体" w:eastAsia="宋体" w:cs="宋体"/>
          <w:b w:val="0"/>
          <w:bCs w:val="0"/>
          <w:sz w:val="21"/>
          <w:szCs w:val="24"/>
          <w:highlight w:val="none"/>
          <w:u w:val="none"/>
          <w:lang w:val="en-US" w:eastAsia="zh-CN"/>
        </w:rPr>
        <w:t>等支撑平台集成对接</w:t>
      </w:r>
      <w:r>
        <w:rPr>
          <w:rFonts w:hint="eastAsia" w:ascii="宋体" w:hAnsi="宋体" w:cs="宋体"/>
          <w:b w:val="0"/>
          <w:bCs w:val="0"/>
          <w:sz w:val="21"/>
          <w:szCs w:val="24"/>
          <w:highlight w:val="none"/>
          <w:u w:val="none"/>
          <w:lang w:val="en-US" w:eastAsia="zh-CN"/>
        </w:rPr>
        <w:t>的服务</w:t>
      </w:r>
      <w:r>
        <w:rPr>
          <w:rFonts w:hint="eastAsia" w:ascii="宋体" w:hAnsi="宋体" w:eastAsia="宋体" w:cs="宋体"/>
          <w:b w:val="0"/>
          <w:bCs w:val="0"/>
          <w:sz w:val="21"/>
          <w:szCs w:val="24"/>
          <w:highlight w:val="none"/>
          <w:u w:val="none"/>
          <w:lang w:val="en-US" w:eastAsia="zh-CN"/>
        </w:rPr>
        <w:t>，实现数据融合和功能互用等功能，实现组织架构同步、单点登录、统一消息通知等功能。供应商如未完成</w:t>
      </w:r>
      <w:r>
        <w:rPr>
          <w:rFonts w:hint="eastAsia" w:ascii="宋体" w:hAnsi="宋体" w:eastAsia="宋体" w:cs="宋体"/>
          <w:b w:val="0"/>
          <w:bCs w:val="0"/>
          <w:sz w:val="21"/>
          <w:szCs w:val="24"/>
          <w:highlight w:val="none"/>
          <w:lang w:val="en-US" w:eastAsia="zh-CN"/>
        </w:rPr>
        <w:t>信息系统集成</w:t>
      </w:r>
      <w:r>
        <w:rPr>
          <w:rFonts w:hint="eastAsia" w:ascii="宋体" w:hAnsi="宋体" w:eastAsia="宋体" w:cs="宋体"/>
          <w:b w:val="0"/>
          <w:bCs w:val="0"/>
          <w:sz w:val="21"/>
          <w:szCs w:val="24"/>
          <w:highlight w:val="none"/>
          <w:u w:val="none"/>
          <w:lang w:val="en-US" w:eastAsia="zh-CN"/>
        </w:rPr>
        <w:t>，视为供应商违约，采购人将按供应商延期交付标的物的违约情形进行处理。</w:t>
      </w:r>
    </w:p>
    <w:p w14:paraId="33EC8C07">
      <w:pPr>
        <w:numPr>
          <w:ilvl w:val="0"/>
          <w:numId w:val="0"/>
        </w:numPr>
        <w:snapToGrid w:val="0"/>
        <w:spacing w:line="360" w:lineRule="auto"/>
        <w:ind w:left="0" w:leftChars="0" w:firstLine="422" w:firstLineChars="200"/>
        <w:rPr>
          <w:rFonts w:hint="eastAsia" w:ascii="宋体" w:hAnsi="宋体" w:eastAsia="宋体" w:cs="宋体"/>
          <w:b/>
          <w:bCs/>
          <w:sz w:val="21"/>
          <w:szCs w:val="24"/>
          <w:highlight w:val="none"/>
          <w:lang w:val="en-US" w:eastAsia="zh-CN"/>
        </w:rPr>
      </w:pPr>
      <w:r>
        <w:rPr>
          <w:rFonts w:hint="eastAsia" w:ascii="宋体" w:hAnsi="宋体" w:cs="宋体"/>
          <w:b/>
          <w:bCs/>
          <w:sz w:val="21"/>
          <w:szCs w:val="24"/>
          <w:highlight w:val="none"/>
          <w:lang w:val="en-US" w:eastAsia="zh-CN"/>
        </w:rPr>
        <w:t>2、</w:t>
      </w:r>
      <w:r>
        <w:rPr>
          <w:rFonts w:hint="eastAsia" w:ascii="宋体" w:hAnsi="宋体" w:eastAsia="宋体" w:cs="宋体"/>
          <w:b/>
          <w:bCs/>
          <w:sz w:val="21"/>
          <w:szCs w:val="24"/>
          <w:highlight w:val="none"/>
          <w:lang w:val="en-US" w:eastAsia="zh-CN"/>
        </w:rPr>
        <w:t>数据汇聚</w:t>
      </w:r>
    </w:p>
    <w:p w14:paraId="0B9EC9DD">
      <w:pPr>
        <w:numPr>
          <w:ilvl w:val="0"/>
          <w:numId w:val="0"/>
        </w:numPr>
        <w:snapToGrid w:val="0"/>
        <w:spacing w:line="360" w:lineRule="auto"/>
        <w:ind w:left="0" w:leftChars="0" w:firstLine="420" w:firstLineChars="200"/>
        <w:rPr>
          <w:rFonts w:hint="eastAsia" w:ascii="宋体" w:hAnsi="宋体" w:eastAsia="宋体" w:cs="宋体"/>
          <w:b w:val="0"/>
          <w:bCs w:val="0"/>
          <w:sz w:val="21"/>
          <w:szCs w:val="24"/>
          <w:highlight w:val="none"/>
          <w:lang w:val="en-US" w:eastAsia="zh-CN"/>
        </w:rPr>
      </w:pPr>
      <w:r>
        <w:rPr>
          <w:rFonts w:hint="eastAsia" w:ascii="宋体" w:hAnsi="宋体" w:eastAsia="宋体" w:cs="宋体"/>
          <w:b w:val="0"/>
          <w:bCs w:val="0"/>
          <w:sz w:val="21"/>
          <w:szCs w:val="24"/>
          <w:highlight w:val="none"/>
          <w:lang w:val="en-US" w:eastAsia="zh-CN"/>
        </w:rPr>
        <w:t>数据交换和接口开发要求数据归集到学校数据中台，自动同步公共数据，完成数据交换，符合学校数据标准要求。配合学校完成数据治理及数据汇聚，并</w:t>
      </w:r>
      <w:r>
        <w:rPr>
          <w:rFonts w:hint="eastAsia" w:ascii="宋体" w:hAnsi="宋体" w:cs="宋体"/>
          <w:b w:val="0"/>
          <w:bCs w:val="0"/>
          <w:sz w:val="21"/>
          <w:szCs w:val="24"/>
          <w:highlight w:val="none"/>
          <w:lang w:val="en-US" w:eastAsia="zh-CN"/>
        </w:rPr>
        <w:t>要求</w:t>
      </w:r>
      <w:r>
        <w:rPr>
          <w:rFonts w:hint="eastAsia" w:ascii="宋体" w:hAnsi="宋体" w:eastAsia="宋体" w:cs="宋体"/>
          <w:b w:val="0"/>
          <w:bCs w:val="0"/>
          <w:sz w:val="21"/>
          <w:szCs w:val="24"/>
          <w:highlight w:val="none"/>
          <w:lang w:val="en-US" w:eastAsia="zh-CN"/>
        </w:rPr>
        <w:t>提供所需资料文档信息（包括数据库设计文档、数据字典、系统及数据库超管账号及密码等）。对于不满足学校数据标准的系统数据，须按</w:t>
      </w:r>
      <w:r>
        <w:rPr>
          <w:rFonts w:hint="eastAsia" w:ascii="宋体" w:hAnsi="宋体" w:cs="宋体"/>
          <w:b w:val="0"/>
          <w:bCs w:val="0"/>
          <w:sz w:val="21"/>
          <w:szCs w:val="24"/>
          <w:highlight w:val="none"/>
          <w:lang w:val="en-US" w:eastAsia="zh-CN"/>
        </w:rPr>
        <w:t>采购人</w:t>
      </w:r>
      <w:r>
        <w:rPr>
          <w:rFonts w:hint="eastAsia" w:ascii="宋体" w:hAnsi="宋体" w:eastAsia="宋体" w:cs="宋体"/>
          <w:b w:val="0"/>
          <w:bCs w:val="0"/>
          <w:sz w:val="21"/>
          <w:szCs w:val="24"/>
          <w:highlight w:val="none"/>
          <w:lang w:val="en-US" w:eastAsia="zh-CN"/>
        </w:rPr>
        <w:t>要求进行修改；有新增数据类型的，</w:t>
      </w:r>
      <w:r>
        <w:rPr>
          <w:rFonts w:hint="eastAsia" w:ascii="宋体" w:hAnsi="宋体" w:cs="宋体"/>
          <w:b w:val="0"/>
          <w:bCs w:val="0"/>
          <w:sz w:val="21"/>
          <w:szCs w:val="24"/>
          <w:highlight w:val="none"/>
          <w:lang w:val="en-US" w:eastAsia="zh-CN"/>
        </w:rPr>
        <w:t>要求</w:t>
      </w:r>
      <w:r>
        <w:rPr>
          <w:rFonts w:hint="eastAsia" w:ascii="宋体" w:hAnsi="宋体" w:eastAsia="宋体" w:cs="宋体"/>
          <w:b w:val="0"/>
          <w:bCs w:val="0"/>
          <w:sz w:val="21"/>
          <w:szCs w:val="24"/>
          <w:highlight w:val="none"/>
          <w:lang w:val="en-US" w:eastAsia="zh-CN"/>
        </w:rPr>
        <w:t>配合</w:t>
      </w:r>
      <w:r>
        <w:rPr>
          <w:rFonts w:hint="eastAsia" w:ascii="宋体" w:hAnsi="宋体" w:cs="宋体"/>
          <w:b w:val="0"/>
          <w:bCs w:val="0"/>
          <w:sz w:val="21"/>
          <w:szCs w:val="24"/>
          <w:highlight w:val="none"/>
          <w:lang w:val="en-US" w:eastAsia="zh-CN"/>
        </w:rPr>
        <w:t>采购人</w:t>
      </w:r>
      <w:r>
        <w:rPr>
          <w:rFonts w:hint="eastAsia" w:ascii="宋体" w:hAnsi="宋体" w:eastAsia="宋体" w:cs="宋体"/>
          <w:b w:val="0"/>
          <w:bCs w:val="0"/>
          <w:sz w:val="21"/>
          <w:szCs w:val="24"/>
          <w:highlight w:val="none"/>
          <w:lang w:val="en-US" w:eastAsia="zh-CN"/>
        </w:rPr>
        <w:t>完善数据标准。</w:t>
      </w:r>
    </w:p>
    <w:p w14:paraId="50FA97B6">
      <w:pPr>
        <w:numPr>
          <w:ilvl w:val="0"/>
          <w:numId w:val="0"/>
        </w:numPr>
        <w:snapToGrid w:val="0"/>
        <w:spacing w:line="360" w:lineRule="auto"/>
        <w:ind w:left="0" w:leftChars="0" w:firstLine="422" w:firstLineChars="200"/>
        <w:rPr>
          <w:rFonts w:hint="eastAsia" w:ascii="宋体" w:hAnsi="宋体" w:eastAsia="宋体" w:cs="宋体"/>
          <w:b/>
          <w:bCs/>
          <w:sz w:val="21"/>
          <w:szCs w:val="24"/>
          <w:highlight w:val="none"/>
          <w:lang w:val="en-US" w:eastAsia="zh-CN"/>
        </w:rPr>
      </w:pPr>
      <w:r>
        <w:rPr>
          <w:rFonts w:hint="eastAsia" w:ascii="宋体" w:hAnsi="宋体" w:eastAsia="宋体" w:cs="宋体"/>
          <w:b/>
          <w:bCs/>
          <w:sz w:val="21"/>
          <w:szCs w:val="24"/>
          <w:highlight w:val="none"/>
          <w:lang w:val="en-US" w:eastAsia="zh-CN"/>
        </w:rPr>
        <w:t>3、历史数据迁移</w:t>
      </w:r>
    </w:p>
    <w:p w14:paraId="26402271">
      <w:pPr>
        <w:numPr>
          <w:ilvl w:val="0"/>
          <w:numId w:val="0"/>
        </w:numPr>
        <w:snapToGrid w:val="0"/>
        <w:spacing w:line="360" w:lineRule="auto"/>
        <w:ind w:left="0" w:leftChars="0" w:firstLine="420" w:firstLineChars="200"/>
        <w:rPr>
          <w:rFonts w:hint="default" w:ascii="宋体" w:hAnsi="宋体" w:eastAsia="宋体" w:cs="宋体"/>
          <w:b w:val="0"/>
          <w:bCs w:val="0"/>
          <w:sz w:val="21"/>
          <w:szCs w:val="24"/>
          <w:highlight w:val="none"/>
          <w:lang w:val="en-US" w:eastAsia="zh-CN"/>
        </w:rPr>
      </w:pPr>
      <w:r>
        <w:rPr>
          <w:rFonts w:hint="eastAsia" w:ascii="宋体" w:hAnsi="宋体" w:eastAsia="宋体" w:cs="宋体"/>
          <w:b w:val="0"/>
          <w:bCs w:val="0"/>
          <w:sz w:val="21"/>
          <w:szCs w:val="24"/>
          <w:highlight w:val="none"/>
          <w:lang w:val="en-US" w:eastAsia="zh-CN"/>
        </w:rPr>
        <w:t>温州理工学院一站式网上办事大厅系统目前存储了全校师生各类线上办事申请、审批流转记录、表单业务数据、流程配置信息、电子附件材料、消息通知日志以及用户基本信息等数据。需要将所有数据都迁移到国产化数据库中。主要迁移工作包括数据库迁移工具的选取、数据迁移的脚本编写和验证、历史数据全部迁移、迁移后数据一致性校验及异常数据修复。</w:t>
      </w:r>
    </w:p>
    <w:p w14:paraId="211BC4A1">
      <w:pPr>
        <w:numPr>
          <w:ilvl w:val="0"/>
          <w:numId w:val="0"/>
        </w:numPr>
        <w:rPr>
          <w:rFonts w:hint="default"/>
          <w:lang w:val="en-US" w:eastAsia="zh-CN"/>
        </w:rPr>
      </w:pPr>
    </w:p>
    <w:p w14:paraId="25BCB93B">
      <w:pPr>
        <w:numPr>
          <w:ilvl w:val="0"/>
          <w:numId w:val="0"/>
        </w:numPr>
        <w:snapToGrid w:val="0"/>
        <w:spacing w:line="360" w:lineRule="auto"/>
        <w:ind w:left="0" w:leftChars="0" w:firstLine="422" w:firstLineChars="200"/>
        <w:rPr>
          <w:rFonts w:hint="eastAsia" w:ascii="宋体" w:hAnsi="宋体" w:eastAsia="宋体" w:cs="宋体"/>
          <w:b/>
          <w:bCs/>
          <w:sz w:val="21"/>
          <w:szCs w:val="24"/>
          <w:highlight w:val="none"/>
          <w:lang w:val="en-US" w:eastAsia="zh-CN"/>
        </w:rPr>
      </w:pPr>
      <w:r>
        <w:rPr>
          <w:rFonts w:hint="eastAsia" w:ascii="宋体" w:hAnsi="宋体" w:cs="宋体"/>
          <w:b/>
          <w:bCs/>
          <w:sz w:val="21"/>
          <w:szCs w:val="24"/>
          <w:highlight w:val="none"/>
          <w:lang w:val="en-US" w:eastAsia="zh-CN"/>
        </w:rPr>
        <w:t>4、</w:t>
      </w:r>
      <w:r>
        <w:rPr>
          <w:rFonts w:hint="eastAsia" w:ascii="宋体" w:hAnsi="宋体" w:eastAsia="宋体" w:cs="宋体"/>
          <w:b/>
          <w:bCs/>
          <w:sz w:val="21"/>
          <w:szCs w:val="24"/>
          <w:highlight w:val="none"/>
          <w:lang w:val="en-US" w:eastAsia="zh-CN"/>
        </w:rPr>
        <w:t>访问控制</w:t>
      </w:r>
    </w:p>
    <w:p w14:paraId="41D3C20F">
      <w:pPr>
        <w:numPr>
          <w:ilvl w:val="0"/>
          <w:numId w:val="0"/>
        </w:numPr>
        <w:snapToGrid w:val="0"/>
        <w:spacing w:line="360" w:lineRule="auto"/>
        <w:ind w:left="0" w:leftChars="0" w:firstLine="420" w:firstLineChars="200"/>
        <w:rPr>
          <w:rFonts w:hint="eastAsia" w:ascii="宋体" w:hAnsi="宋体" w:eastAsia="宋体" w:cs="宋体"/>
          <w:b w:val="0"/>
          <w:bCs w:val="0"/>
          <w:sz w:val="21"/>
          <w:szCs w:val="24"/>
          <w:highlight w:val="none"/>
          <w:lang w:val="en-US" w:eastAsia="zh-CN"/>
        </w:rPr>
      </w:pPr>
      <w:r>
        <w:rPr>
          <w:rFonts w:hint="eastAsia" w:ascii="宋体" w:hAnsi="宋体" w:eastAsia="宋体" w:cs="宋体"/>
          <w:b w:val="0"/>
          <w:bCs w:val="0"/>
          <w:sz w:val="21"/>
          <w:szCs w:val="24"/>
          <w:highlight w:val="none"/>
          <w:lang w:val="en-US" w:eastAsia="zh-CN"/>
        </w:rPr>
        <w:t>使用基于角色的权限控制方式对系统资源的访问进行授权，支持根据业务角色不同赋予权限，支持功能模块、文件、报表的细颗粒度权限控制；严格限制默认账户的访问权限；权限分离应采用最小授权原则，授予用户完成承担任务所需的最小权限；系统支持对特权用户的权限分离，如将管理与审计赋予不同用户；具备对重要信息资源设置敏感标记的功能，并制定统一安全策略严格控制用户对有敏感标记的重要信息资源的操作访问。</w:t>
      </w:r>
    </w:p>
    <w:p w14:paraId="20A62F13">
      <w:pPr>
        <w:numPr>
          <w:ilvl w:val="0"/>
          <w:numId w:val="0"/>
        </w:numPr>
        <w:snapToGrid w:val="0"/>
        <w:spacing w:line="360" w:lineRule="auto"/>
        <w:ind w:left="0" w:leftChars="0" w:firstLine="422" w:firstLineChars="200"/>
        <w:rPr>
          <w:rFonts w:hint="eastAsia" w:ascii="宋体" w:hAnsi="宋体" w:eastAsia="宋体" w:cs="宋体"/>
          <w:b/>
          <w:bCs/>
          <w:sz w:val="21"/>
          <w:szCs w:val="24"/>
          <w:highlight w:val="none"/>
          <w:lang w:val="en-US" w:eastAsia="zh-CN"/>
        </w:rPr>
      </w:pPr>
      <w:r>
        <w:rPr>
          <w:rFonts w:hint="eastAsia" w:ascii="宋体" w:hAnsi="宋体" w:cs="宋体"/>
          <w:b/>
          <w:bCs/>
          <w:sz w:val="21"/>
          <w:szCs w:val="24"/>
          <w:highlight w:val="none"/>
          <w:lang w:val="en-US" w:eastAsia="zh-CN"/>
        </w:rPr>
        <w:t>5、</w:t>
      </w:r>
      <w:r>
        <w:rPr>
          <w:rFonts w:hint="eastAsia" w:ascii="宋体" w:hAnsi="宋体" w:eastAsia="宋体" w:cs="宋体"/>
          <w:b/>
          <w:bCs/>
          <w:sz w:val="21"/>
          <w:szCs w:val="24"/>
          <w:highlight w:val="none"/>
          <w:lang w:val="en-US" w:eastAsia="zh-CN"/>
        </w:rPr>
        <w:t>通讯保障</w:t>
      </w:r>
    </w:p>
    <w:p w14:paraId="046477BB">
      <w:pPr>
        <w:numPr>
          <w:ilvl w:val="0"/>
          <w:numId w:val="0"/>
        </w:numPr>
        <w:snapToGrid w:val="0"/>
        <w:spacing w:line="360" w:lineRule="auto"/>
        <w:ind w:left="0" w:leftChars="0" w:firstLine="420" w:firstLineChars="200"/>
        <w:rPr>
          <w:rFonts w:hint="eastAsia" w:ascii="宋体" w:hAnsi="宋体" w:eastAsia="宋体" w:cs="宋体"/>
          <w:kern w:val="0"/>
          <w:sz w:val="21"/>
          <w:szCs w:val="21"/>
          <w:highlight w:val="none"/>
          <w:lang w:val="en-US" w:eastAsia="zh-CN" w:bidi="ar"/>
        </w:rPr>
      </w:pPr>
      <w:r>
        <w:rPr>
          <w:rFonts w:hint="eastAsia" w:ascii="宋体" w:hAnsi="宋体" w:eastAsia="宋体" w:cs="宋体"/>
          <w:b w:val="0"/>
          <w:bCs w:val="0"/>
          <w:sz w:val="21"/>
          <w:szCs w:val="24"/>
          <w:highlight w:val="none"/>
          <w:lang w:val="en-US" w:eastAsia="zh-CN"/>
        </w:rPr>
        <w:t>平台与其他</w:t>
      </w:r>
      <w:r>
        <w:rPr>
          <w:rFonts w:hint="eastAsia" w:ascii="宋体" w:hAnsi="宋体" w:eastAsia="宋体" w:cs="宋体"/>
          <w:kern w:val="0"/>
          <w:sz w:val="21"/>
          <w:szCs w:val="21"/>
          <w:highlight w:val="none"/>
          <w:lang w:val="en-US" w:eastAsia="zh-CN" w:bidi="ar"/>
        </w:rPr>
        <w:t>应用系统之间的数据通信应使用事务传输机制，在数据传输异常中断时，进行事务的回滚和重传，保证数据完整性。用户访问平台的数据通信应支持使用加密技术，在会话初始化时进行认证，并在通信过程中对整个会话过程进行加密。</w:t>
      </w:r>
    </w:p>
    <w:p w14:paraId="15B2A660">
      <w:pPr>
        <w:numPr>
          <w:ilvl w:val="0"/>
          <w:numId w:val="0"/>
        </w:numPr>
        <w:snapToGrid w:val="0"/>
        <w:spacing w:line="360" w:lineRule="auto"/>
        <w:ind w:left="0" w:leftChars="0" w:firstLine="422" w:firstLineChars="200"/>
        <w:rPr>
          <w:rFonts w:hint="eastAsia" w:ascii="宋体" w:hAnsi="宋体" w:eastAsia="宋体" w:cs="宋体"/>
          <w:b/>
          <w:bCs/>
          <w:sz w:val="21"/>
          <w:szCs w:val="24"/>
          <w:highlight w:val="none"/>
          <w:lang w:val="en-US" w:eastAsia="zh-CN"/>
        </w:rPr>
      </w:pPr>
      <w:r>
        <w:rPr>
          <w:rFonts w:hint="eastAsia" w:ascii="宋体" w:hAnsi="宋体" w:cs="宋体"/>
          <w:b/>
          <w:bCs/>
          <w:sz w:val="21"/>
          <w:szCs w:val="24"/>
          <w:highlight w:val="none"/>
          <w:lang w:val="en-US" w:eastAsia="zh-CN"/>
        </w:rPr>
        <w:t>6、信创</w:t>
      </w:r>
      <w:r>
        <w:rPr>
          <w:rFonts w:hint="eastAsia" w:ascii="宋体" w:hAnsi="宋体" w:eastAsia="宋体" w:cs="宋体"/>
          <w:b/>
          <w:bCs/>
          <w:sz w:val="21"/>
          <w:szCs w:val="24"/>
          <w:highlight w:val="none"/>
          <w:lang w:val="en-US" w:eastAsia="zh-CN"/>
        </w:rPr>
        <w:t>要求</w:t>
      </w:r>
    </w:p>
    <w:p w14:paraId="7D26B320">
      <w:pPr>
        <w:numPr>
          <w:ilvl w:val="0"/>
          <w:numId w:val="0"/>
        </w:numPr>
        <w:snapToGrid w:val="0"/>
        <w:spacing w:line="360" w:lineRule="auto"/>
        <w:ind w:firstLine="420" w:firstLineChars="200"/>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整个项目需满足信创要求，完成与中国信息安全测评中心发布的安全可靠测评结果中芯片、操作系统、数据库等软硬件的兼容和适配。</w:t>
      </w:r>
    </w:p>
    <w:p w14:paraId="3036FD88">
      <w:pPr>
        <w:numPr>
          <w:ilvl w:val="0"/>
          <w:numId w:val="0"/>
        </w:numPr>
        <w:snapToGrid w:val="0"/>
        <w:spacing w:line="360" w:lineRule="auto"/>
        <w:ind w:left="0" w:leftChars="0" w:firstLine="422" w:firstLineChars="200"/>
        <w:rPr>
          <w:rFonts w:hint="eastAsia" w:ascii="宋体" w:hAnsi="宋体" w:eastAsia="宋体" w:cs="宋体"/>
          <w:b/>
          <w:bCs/>
          <w:kern w:val="0"/>
          <w:sz w:val="21"/>
          <w:szCs w:val="21"/>
          <w:highlight w:val="none"/>
          <w:lang w:val="en-US" w:eastAsia="zh-CN" w:bidi="ar"/>
        </w:rPr>
      </w:pPr>
      <w:r>
        <w:rPr>
          <w:rFonts w:hint="eastAsia" w:ascii="宋体" w:hAnsi="宋体" w:cs="宋体"/>
          <w:b/>
          <w:bCs/>
          <w:kern w:val="0"/>
          <w:sz w:val="21"/>
          <w:szCs w:val="21"/>
          <w:highlight w:val="none"/>
          <w:lang w:val="en-US" w:eastAsia="zh-CN" w:bidi="ar"/>
        </w:rPr>
        <w:t>7、</w:t>
      </w:r>
      <w:r>
        <w:rPr>
          <w:rFonts w:hint="eastAsia" w:ascii="宋体" w:hAnsi="宋体" w:eastAsia="宋体" w:cs="宋体"/>
          <w:b/>
          <w:bCs/>
          <w:kern w:val="0"/>
          <w:sz w:val="21"/>
          <w:szCs w:val="21"/>
          <w:highlight w:val="none"/>
          <w:lang w:val="en-US" w:eastAsia="zh-CN" w:bidi="ar"/>
        </w:rPr>
        <w:t>系统用户数</w:t>
      </w:r>
    </w:p>
    <w:p w14:paraId="72D54DBA">
      <w:pPr>
        <w:numPr>
          <w:ilvl w:val="0"/>
          <w:numId w:val="0"/>
        </w:numPr>
        <w:snapToGrid w:val="0"/>
        <w:spacing w:line="360" w:lineRule="auto"/>
        <w:ind w:firstLine="420" w:firstLineChars="200"/>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本项目所涉及的所有功能模块的用户数不得限制，系统均授权为无限用户，且</w:t>
      </w:r>
      <w:r>
        <w:rPr>
          <w:rFonts w:hint="eastAsia" w:ascii="宋体" w:hAnsi="宋体" w:cs="宋体"/>
          <w:kern w:val="0"/>
          <w:sz w:val="21"/>
          <w:szCs w:val="21"/>
          <w:highlight w:val="none"/>
          <w:lang w:val="en-US" w:eastAsia="zh-CN" w:bidi="ar"/>
        </w:rPr>
        <w:t>采购人</w:t>
      </w:r>
      <w:r>
        <w:rPr>
          <w:rFonts w:hint="eastAsia" w:ascii="宋体" w:hAnsi="宋体" w:eastAsia="宋体" w:cs="宋体"/>
          <w:kern w:val="0"/>
          <w:sz w:val="21"/>
          <w:szCs w:val="21"/>
          <w:highlight w:val="none"/>
          <w:lang w:val="en-US" w:eastAsia="zh-CN" w:bidi="ar"/>
        </w:rPr>
        <w:t>拥有永久使用权，</w:t>
      </w:r>
      <w:r>
        <w:rPr>
          <w:rFonts w:hint="eastAsia" w:ascii="宋体" w:hAnsi="宋体" w:cs="宋体"/>
          <w:kern w:val="0"/>
          <w:sz w:val="21"/>
          <w:szCs w:val="21"/>
          <w:highlight w:val="none"/>
          <w:lang w:val="en-US" w:eastAsia="zh-CN" w:bidi="ar"/>
        </w:rPr>
        <w:t>供应商</w:t>
      </w:r>
      <w:r>
        <w:rPr>
          <w:rFonts w:hint="eastAsia" w:ascii="宋体" w:hAnsi="宋体" w:eastAsia="宋体" w:cs="宋体"/>
          <w:kern w:val="0"/>
          <w:sz w:val="21"/>
          <w:szCs w:val="21"/>
          <w:highlight w:val="none"/>
          <w:lang w:val="en-US" w:eastAsia="zh-CN" w:bidi="ar"/>
        </w:rPr>
        <w:t>需提供承诺函，格式自拟。</w:t>
      </w:r>
    </w:p>
    <w:p w14:paraId="54B0A946">
      <w:pPr>
        <w:pStyle w:val="2"/>
        <w:numPr>
          <w:ilvl w:val="0"/>
          <w:numId w:val="0"/>
        </w:numPr>
        <w:ind w:left="422" w:leftChars="0"/>
        <w:rPr>
          <w:rFonts w:hint="eastAsia" w:ascii="宋体" w:hAnsi="宋体" w:eastAsia="宋体" w:cs="宋体"/>
          <w:b/>
          <w:bCs/>
          <w:spacing w:val="0"/>
          <w:kern w:val="0"/>
          <w:sz w:val="21"/>
          <w:szCs w:val="21"/>
          <w:highlight w:val="none"/>
          <w:lang w:val="en-US" w:eastAsia="zh-CN" w:bidi="ar"/>
        </w:rPr>
      </w:pPr>
      <w:r>
        <w:rPr>
          <w:rFonts w:hint="eastAsia" w:ascii="宋体" w:hAnsi="宋体" w:eastAsia="宋体" w:cs="宋体"/>
          <w:b/>
          <w:bCs/>
          <w:spacing w:val="0"/>
          <w:kern w:val="0"/>
          <w:sz w:val="21"/>
          <w:szCs w:val="21"/>
          <w:highlight w:val="none"/>
          <w:lang w:val="en-US" w:eastAsia="zh-CN" w:bidi="ar"/>
        </w:rPr>
        <w:t>8、安全要求</w:t>
      </w:r>
    </w:p>
    <w:p w14:paraId="4925FDEF">
      <w:pPr>
        <w:numPr>
          <w:ilvl w:val="0"/>
          <w:numId w:val="0"/>
        </w:numPr>
        <w:snapToGrid w:val="0"/>
        <w:spacing w:line="360" w:lineRule="auto"/>
        <w:ind w:firstLine="420" w:firstLineChars="200"/>
        <w:rPr>
          <w:rFonts w:hint="default"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本项目所涉及的敏感数据均需要加密保存，在页面上做好脱敏显示。按照学校数据保密条例要求，项目实施前要签订数据安全责任书，供应商和实施人员要终身遵守数据保密协议规定。</w:t>
      </w:r>
    </w:p>
    <w:p w14:paraId="0DC65607">
      <w:pPr>
        <w:numPr>
          <w:ilvl w:val="0"/>
          <w:numId w:val="0"/>
        </w:numPr>
        <w:snapToGrid w:val="0"/>
        <w:spacing w:line="360" w:lineRule="auto"/>
        <w:ind w:left="0" w:leftChars="0" w:firstLine="422" w:firstLineChars="200"/>
        <w:rPr>
          <w:rFonts w:hint="eastAsia" w:ascii="宋体" w:hAnsi="宋体" w:eastAsia="宋体" w:cs="宋体"/>
          <w:b/>
          <w:bCs/>
          <w:kern w:val="0"/>
          <w:sz w:val="21"/>
          <w:szCs w:val="21"/>
          <w:highlight w:val="none"/>
          <w:lang w:val="en-US" w:eastAsia="zh-CN" w:bidi="ar"/>
        </w:rPr>
      </w:pPr>
      <w:r>
        <w:rPr>
          <w:rFonts w:hint="eastAsia" w:ascii="宋体" w:hAnsi="宋体" w:cs="宋体"/>
          <w:b/>
          <w:bCs/>
          <w:kern w:val="0"/>
          <w:sz w:val="21"/>
          <w:szCs w:val="21"/>
          <w:highlight w:val="none"/>
          <w:lang w:val="en-US" w:eastAsia="zh-CN" w:bidi="ar"/>
        </w:rPr>
        <w:t>9、</w:t>
      </w:r>
      <w:r>
        <w:rPr>
          <w:rFonts w:hint="eastAsia" w:ascii="宋体" w:hAnsi="宋体" w:eastAsia="宋体" w:cs="宋体"/>
          <w:b/>
          <w:bCs/>
          <w:kern w:val="0"/>
          <w:sz w:val="21"/>
          <w:szCs w:val="21"/>
          <w:highlight w:val="none"/>
          <w:lang w:val="en-US" w:eastAsia="zh-CN" w:bidi="ar"/>
        </w:rPr>
        <w:t>维保</w:t>
      </w:r>
      <w:r>
        <w:rPr>
          <w:rFonts w:hint="eastAsia" w:ascii="宋体" w:hAnsi="宋体" w:cs="宋体"/>
          <w:b/>
          <w:bCs/>
          <w:kern w:val="0"/>
          <w:sz w:val="21"/>
          <w:szCs w:val="21"/>
          <w:highlight w:val="none"/>
          <w:lang w:val="en-US" w:eastAsia="zh-CN" w:bidi="ar"/>
        </w:rPr>
        <w:t>（质保）</w:t>
      </w:r>
      <w:r>
        <w:rPr>
          <w:rFonts w:hint="eastAsia" w:ascii="宋体" w:hAnsi="宋体" w:eastAsia="宋体" w:cs="宋体"/>
          <w:b/>
          <w:bCs/>
          <w:kern w:val="0"/>
          <w:sz w:val="21"/>
          <w:szCs w:val="21"/>
          <w:highlight w:val="none"/>
          <w:lang w:val="en-US" w:eastAsia="zh-CN" w:bidi="ar"/>
        </w:rPr>
        <w:t>要求</w:t>
      </w:r>
    </w:p>
    <w:p w14:paraId="29A79938">
      <w:pPr>
        <w:numPr>
          <w:ilvl w:val="0"/>
          <w:numId w:val="0"/>
        </w:numPr>
        <w:snapToGrid w:val="0"/>
        <w:spacing w:line="360" w:lineRule="auto"/>
        <w:ind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供应商</w:t>
      </w:r>
      <w:r>
        <w:rPr>
          <w:rFonts w:hint="eastAsia" w:ascii="宋体" w:hAnsi="宋体" w:eastAsia="宋体" w:cs="宋体"/>
          <w:color w:val="auto"/>
          <w:kern w:val="0"/>
          <w:sz w:val="21"/>
          <w:szCs w:val="21"/>
          <w:highlight w:val="none"/>
          <w:lang w:val="en-US" w:eastAsia="zh-CN" w:bidi="ar"/>
        </w:rPr>
        <w:t>至少提供1年的</w:t>
      </w:r>
      <w:r>
        <w:rPr>
          <w:rFonts w:hint="eastAsia" w:ascii="宋体" w:hAnsi="宋体" w:cs="宋体"/>
          <w:color w:val="auto"/>
          <w:kern w:val="0"/>
          <w:sz w:val="21"/>
          <w:szCs w:val="21"/>
          <w:highlight w:val="none"/>
          <w:lang w:val="en-US" w:eastAsia="zh-CN" w:bidi="ar"/>
        </w:rPr>
        <w:t>质保期</w:t>
      </w:r>
      <w:r>
        <w:rPr>
          <w:rFonts w:hint="eastAsia" w:ascii="宋体" w:hAnsi="宋体" w:eastAsia="宋体" w:cs="宋体"/>
          <w:color w:val="auto"/>
          <w:kern w:val="0"/>
          <w:sz w:val="21"/>
          <w:szCs w:val="21"/>
          <w:highlight w:val="none"/>
          <w:lang w:val="en-US" w:eastAsia="zh-CN" w:bidi="ar"/>
        </w:rPr>
        <w:t>（自正式验收合格起）</w:t>
      </w:r>
      <w:r>
        <w:rPr>
          <w:rFonts w:hint="eastAsia" w:ascii="宋体" w:hAnsi="宋体" w:cs="宋体"/>
          <w:color w:val="auto"/>
          <w:kern w:val="0"/>
          <w:sz w:val="21"/>
          <w:szCs w:val="21"/>
          <w:highlight w:val="none"/>
          <w:lang w:val="en-US" w:eastAsia="zh-CN" w:bidi="ar"/>
        </w:rPr>
        <w:t>。在质保期间，除了系统的日常运维之外，还需免费配合等保要求进行整改</w:t>
      </w:r>
      <w:r>
        <w:rPr>
          <w:rFonts w:hint="eastAsia" w:ascii="宋体" w:hAnsi="宋体" w:eastAsia="宋体" w:cs="宋体"/>
          <w:color w:val="auto"/>
          <w:kern w:val="0"/>
          <w:sz w:val="21"/>
          <w:szCs w:val="21"/>
          <w:highlight w:val="none"/>
          <w:lang w:val="en-US" w:eastAsia="zh-CN" w:bidi="ar"/>
        </w:rPr>
        <w:t>。</w:t>
      </w:r>
    </w:p>
    <w:p w14:paraId="3AC7FC43">
      <w:pPr>
        <w:spacing w:line="360" w:lineRule="auto"/>
        <w:rPr>
          <w:rFonts w:hint="default" w:ascii="宋体" w:hAnsi="宋体" w:cs="宋体"/>
          <w:b/>
          <w:bCs/>
          <w:spacing w:val="4"/>
          <w:szCs w:val="32"/>
          <w:highlight w:val="none"/>
          <w:lang w:val="en-US" w:eastAsia="zh-CN"/>
        </w:rPr>
      </w:pPr>
      <w:r>
        <w:rPr>
          <w:rFonts w:hint="eastAsia" w:ascii="宋体" w:hAnsi="宋体" w:cs="宋体"/>
          <w:b/>
          <w:bCs/>
          <w:spacing w:val="4"/>
          <w:szCs w:val="32"/>
          <w:highlight w:val="none"/>
          <w:lang w:val="en-US" w:eastAsia="zh-CN"/>
        </w:rPr>
        <w:t>四</w:t>
      </w:r>
      <w:r>
        <w:rPr>
          <w:rFonts w:hint="eastAsia" w:ascii="宋体" w:hAnsi="宋体" w:cs="宋体"/>
          <w:b/>
          <w:bCs/>
          <w:spacing w:val="4"/>
          <w:szCs w:val="32"/>
          <w:highlight w:val="none"/>
        </w:rPr>
        <w:t>、</w:t>
      </w:r>
      <w:r>
        <w:rPr>
          <w:rFonts w:hint="eastAsia" w:ascii="宋体" w:hAnsi="宋体" w:cs="宋体"/>
          <w:b/>
          <w:bCs/>
          <w:spacing w:val="4"/>
          <w:szCs w:val="32"/>
          <w:highlight w:val="none"/>
          <w:lang w:val="en-US" w:eastAsia="zh-CN"/>
        </w:rPr>
        <w:t>技术参数要求</w:t>
      </w:r>
    </w:p>
    <w:p w14:paraId="689432A6">
      <w:pPr>
        <w:snapToGrid w:val="0"/>
        <w:spacing w:line="360" w:lineRule="auto"/>
        <w:ind w:firstLine="422" w:firstLineChars="200"/>
        <w:rPr>
          <w:rFonts w:hint="default"/>
          <w:lang w:val="en-US" w:eastAsia="zh-CN"/>
        </w:rPr>
      </w:pPr>
      <w:r>
        <w:rPr>
          <w:rFonts w:hint="eastAsia" w:ascii="宋体" w:hAnsi="宋体" w:cs="宋体"/>
          <w:b/>
          <w:bCs/>
          <w:highlight w:val="none"/>
          <w:lang w:val="en-US" w:eastAsia="zh-CN"/>
        </w:rPr>
        <w:t>1、一站式网上办事大厅系统信创改造参数内容</w:t>
      </w:r>
    </w:p>
    <w:tbl>
      <w:tblPr>
        <w:tblStyle w:val="6"/>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61"/>
        <w:gridCol w:w="8773"/>
      </w:tblGrid>
      <w:tr w14:paraId="1DB6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noWrap w:val="0"/>
            <w:vAlign w:val="center"/>
          </w:tcPr>
          <w:p w14:paraId="122ECAFD">
            <w:pPr>
              <w:rPr>
                <w:b/>
                <w:szCs w:val="21"/>
              </w:rPr>
            </w:pPr>
            <w:r>
              <w:rPr>
                <w:rFonts w:hint="eastAsia"/>
                <w:b/>
                <w:szCs w:val="21"/>
              </w:rPr>
              <w:t>指标项</w:t>
            </w:r>
          </w:p>
        </w:tc>
        <w:tc>
          <w:tcPr>
            <w:tcW w:w="8773" w:type="dxa"/>
            <w:noWrap w:val="0"/>
            <w:vAlign w:val="center"/>
          </w:tcPr>
          <w:p w14:paraId="72C4B3E7">
            <w:pPr>
              <w:rPr>
                <w:b/>
                <w:szCs w:val="21"/>
              </w:rPr>
            </w:pPr>
            <w:r>
              <w:rPr>
                <w:rFonts w:hint="eastAsia"/>
                <w:b/>
                <w:szCs w:val="21"/>
              </w:rPr>
              <w:t>规格/技术参数</w:t>
            </w:r>
          </w:p>
        </w:tc>
      </w:tr>
      <w:tr w14:paraId="7D96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634" w:type="dxa"/>
            <w:gridSpan w:val="2"/>
            <w:noWrap w:val="0"/>
            <w:vAlign w:val="center"/>
          </w:tcPr>
          <w:p w14:paraId="65CFAFA9">
            <w:pPr>
              <w:rPr>
                <w:b/>
                <w:szCs w:val="21"/>
              </w:rPr>
            </w:pPr>
            <w:r>
              <w:rPr>
                <w:rFonts w:hint="eastAsia"/>
                <w:b/>
                <w:szCs w:val="21"/>
              </w:rPr>
              <w:t>1.平台基本要求</w:t>
            </w:r>
          </w:p>
        </w:tc>
      </w:tr>
      <w:tr w14:paraId="243C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61" w:type="dxa"/>
            <w:vMerge w:val="restart"/>
            <w:noWrap w:val="0"/>
            <w:vAlign w:val="center"/>
          </w:tcPr>
          <w:p w14:paraId="3618ABF2">
            <w:pPr>
              <w:rPr>
                <w:szCs w:val="21"/>
              </w:rPr>
            </w:pPr>
            <w:r>
              <w:rPr>
                <w:rFonts w:hint="eastAsia"/>
                <w:szCs w:val="21"/>
              </w:rPr>
              <w:t>集成、性能、安全及标准版要求</w:t>
            </w:r>
          </w:p>
        </w:tc>
        <w:tc>
          <w:tcPr>
            <w:tcW w:w="8773" w:type="dxa"/>
            <w:noWrap w:val="0"/>
            <w:vAlign w:val="center"/>
          </w:tcPr>
          <w:p w14:paraId="41E13C6B">
            <w:pPr>
              <w:rPr>
                <w:b/>
                <w:szCs w:val="21"/>
              </w:rPr>
            </w:pPr>
            <w:r>
              <w:rPr>
                <w:rFonts w:hint="eastAsia"/>
                <w:szCs w:val="21"/>
              </w:rPr>
              <w:t>1</w:t>
            </w:r>
            <w:r>
              <w:rPr>
                <w:szCs w:val="21"/>
              </w:rPr>
              <w:t>.</w:t>
            </w:r>
            <w:r>
              <w:rPr>
                <w:rFonts w:hint="eastAsia"/>
                <w:szCs w:val="21"/>
              </w:rPr>
              <w:t>本项目</w:t>
            </w:r>
            <w:r>
              <w:rPr>
                <w:rFonts w:hint="eastAsia"/>
                <w:szCs w:val="21"/>
                <w:lang w:val="en-US" w:eastAsia="zh-CN"/>
              </w:rPr>
              <w:t>是对</w:t>
            </w:r>
            <w:r>
              <w:rPr>
                <w:rFonts w:hint="eastAsia"/>
                <w:szCs w:val="21"/>
              </w:rPr>
              <w:t>学校</w:t>
            </w:r>
            <w:r>
              <w:rPr>
                <w:rFonts w:hint="eastAsia"/>
                <w:szCs w:val="21"/>
                <w:lang w:val="en-US" w:eastAsia="zh-CN"/>
              </w:rPr>
              <w:t>现有</w:t>
            </w:r>
            <w:r>
              <w:rPr>
                <w:rFonts w:hint="eastAsia" w:cs="Times New Roman"/>
                <w:szCs w:val="21"/>
              </w:rPr>
              <w:t>一站式网上办事大厅</w:t>
            </w:r>
            <w:r>
              <w:rPr>
                <w:rFonts w:hint="eastAsia" w:cs="Times New Roman"/>
                <w:szCs w:val="21"/>
                <w:lang w:val="en-US" w:eastAsia="zh-CN"/>
              </w:rPr>
              <w:t>进行信创改造</w:t>
            </w:r>
            <w:r>
              <w:rPr>
                <w:rFonts w:hint="eastAsia" w:cs="Times New Roman"/>
                <w:szCs w:val="21"/>
                <w:lang w:eastAsia="zh-CN"/>
              </w:rPr>
              <w:t>，</w:t>
            </w:r>
            <w:r>
              <w:rPr>
                <w:rFonts w:hint="eastAsia" w:cs="Times New Roman"/>
                <w:szCs w:val="21"/>
                <w:lang w:val="en-US" w:eastAsia="zh-CN"/>
              </w:rPr>
              <w:t>与</w:t>
            </w:r>
            <w:r>
              <w:rPr>
                <w:szCs w:val="21"/>
              </w:rPr>
              <w:t>统一身份认证</w:t>
            </w:r>
            <w:r>
              <w:rPr>
                <w:rFonts w:hint="eastAsia"/>
                <w:szCs w:val="21"/>
                <w:lang w:eastAsia="zh-CN"/>
              </w:rPr>
              <w:t>、</w:t>
            </w:r>
            <w:r>
              <w:rPr>
                <w:rFonts w:hint="eastAsia"/>
                <w:szCs w:val="21"/>
                <w:lang w:val="en-US" w:eastAsia="zh-CN"/>
              </w:rPr>
              <w:t>身份中台、</w:t>
            </w:r>
            <w:r>
              <w:rPr>
                <w:rFonts w:hint="eastAsia"/>
                <w:szCs w:val="21"/>
              </w:rPr>
              <w:t>数据</w:t>
            </w:r>
            <w:r>
              <w:rPr>
                <w:rFonts w:hint="eastAsia"/>
                <w:szCs w:val="21"/>
                <w:lang w:val="en-US" w:eastAsia="zh-CN"/>
              </w:rPr>
              <w:t>中台</w:t>
            </w:r>
            <w:r>
              <w:rPr>
                <w:rFonts w:hint="eastAsia"/>
                <w:szCs w:val="21"/>
              </w:rPr>
              <w:t>、</w:t>
            </w:r>
            <w:r>
              <w:rPr>
                <w:rFonts w:hint="eastAsia"/>
                <w:szCs w:val="21"/>
                <w:lang w:val="en-US" w:eastAsia="zh-CN"/>
              </w:rPr>
              <w:t>融合</w:t>
            </w:r>
            <w:r>
              <w:rPr>
                <w:rFonts w:hint="eastAsia"/>
                <w:szCs w:val="21"/>
              </w:rPr>
              <w:t>门户</w:t>
            </w:r>
            <w:r>
              <w:rPr>
                <w:rFonts w:hint="eastAsia"/>
                <w:szCs w:val="21"/>
                <w:lang w:eastAsia="zh-CN"/>
              </w:rPr>
              <w:t>、</w:t>
            </w:r>
            <w:r>
              <w:rPr>
                <w:rFonts w:hint="eastAsia"/>
                <w:szCs w:val="21"/>
                <w:lang w:val="en-US" w:eastAsia="zh-CN"/>
              </w:rPr>
              <w:t>电子签章系统</w:t>
            </w:r>
            <w:r>
              <w:rPr>
                <w:rFonts w:hint="eastAsia"/>
                <w:szCs w:val="21"/>
              </w:rPr>
              <w:t>等平台</w:t>
            </w:r>
            <w:r>
              <w:rPr>
                <w:rFonts w:hint="eastAsia"/>
                <w:szCs w:val="21"/>
                <w:lang w:val="en-US" w:eastAsia="zh-CN"/>
              </w:rPr>
              <w:t>进行</w:t>
            </w:r>
            <w:r>
              <w:rPr>
                <w:rFonts w:hint="eastAsia"/>
                <w:szCs w:val="21"/>
              </w:rPr>
              <w:t>对接。</w:t>
            </w:r>
          </w:p>
        </w:tc>
      </w:tr>
      <w:tr w14:paraId="2A84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3AA7A3E4">
            <w:pPr>
              <w:rPr>
                <w:szCs w:val="21"/>
              </w:rPr>
            </w:pPr>
          </w:p>
        </w:tc>
        <w:tc>
          <w:tcPr>
            <w:tcW w:w="8773" w:type="dxa"/>
            <w:noWrap w:val="0"/>
            <w:vAlign w:val="center"/>
          </w:tcPr>
          <w:p w14:paraId="16B04CB7">
            <w:pPr>
              <w:rPr>
                <w:szCs w:val="21"/>
              </w:rPr>
            </w:pPr>
            <w:r>
              <w:rPr>
                <w:szCs w:val="21"/>
              </w:rPr>
              <w:t>2</w:t>
            </w:r>
            <w:r>
              <w:rPr>
                <w:rFonts w:hint="eastAsia"/>
                <w:szCs w:val="21"/>
              </w:rPr>
              <w:t>．实现与学校钉钉移动端的集成。</w:t>
            </w:r>
          </w:p>
        </w:tc>
      </w:tr>
      <w:tr w14:paraId="2CEC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0053417B">
            <w:pPr>
              <w:rPr>
                <w:szCs w:val="21"/>
              </w:rPr>
            </w:pPr>
          </w:p>
        </w:tc>
        <w:tc>
          <w:tcPr>
            <w:tcW w:w="8773" w:type="dxa"/>
            <w:noWrap w:val="0"/>
            <w:vAlign w:val="center"/>
          </w:tcPr>
          <w:p w14:paraId="6D83F5D9">
            <w:pPr>
              <w:numPr>
                <w:ilvl w:val="0"/>
                <w:numId w:val="2"/>
              </w:numPr>
              <w:rPr>
                <w:szCs w:val="21"/>
              </w:rPr>
            </w:pPr>
            <w:r>
              <w:rPr>
                <w:rFonts w:hint="eastAsia"/>
                <w:szCs w:val="21"/>
              </w:rPr>
              <w:t>系统技术架构采用纯 B/S 模式，各浏览器访问前后台功能均无需安装任何插件，兼容IE</w:t>
            </w:r>
            <w:r>
              <w:rPr>
                <w:szCs w:val="21"/>
              </w:rPr>
              <w:t>10</w:t>
            </w:r>
            <w:r>
              <w:rPr>
                <w:rFonts w:hint="eastAsia"/>
                <w:szCs w:val="21"/>
              </w:rPr>
              <w:t>及以上、Google Chrome、FireFox、Safari、360等主流浏览器。</w:t>
            </w:r>
          </w:p>
        </w:tc>
      </w:tr>
      <w:tr w14:paraId="079A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3FF904CE">
            <w:pPr>
              <w:rPr>
                <w:szCs w:val="21"/>
              </w:rPr>
            </w:pPr>
          </w:p>
        </w:tc>
        <w:tc>
          <w:tcPr>
            <w:tcW w:w="8773" w:type="dxa"/>
            <w:noWrap w:val="0"/>
            <w:vAlign w:val="center"/>
          </w:tcPr>
          <w:p w14:paraId="2CEF83B8">
            <w:pPr>
              <w:rPr>
                <w:szCs w:val="21"/>
              </w:rPr>
            </w:pPr>
            <w:r>
              <w:rPr>
                <w:szCs w:val="21"/>
              </w:rPr>
              <w:t>4</w:t>
            </w:r>
            <w:r>
              <w:rPr>
                <w:rFonts w:hint="eastAsia"/>
                <w:szCs w:val="21"/>
              </w:rPr>
              <w:t>．提供部署所需的</w:t>
            </w:r>
            <w:r>
              <w:rPr>
                <w:rFonts w:hint="eastAsia"/>
                <w:szCs w:val="21"/>
                <w:lang w:val="en-US" w:eastAsia="zh-CN"/>
              </w:rPr>
              <w:t>信创</w:t>
            </w:r>
            <w:r>
              <w:rPr>
                <w:rFonts w:hint="eastAsia"/>
                <w:szCs w:val="21"/>
              </w:rPr>
              <w:t>服务器配置要求，包括但不限于CPU、内存、磁盘空间、网络接口，需说明是否可以支持虚拟化部署。配置要求必须按实际情况评估，不可只写出最低或超出实际需要的硬件配置需求。</w:t>
            </w:r>
          </w:p>
        </w:tc>
      </w:tr>
      <w:tr w14:paraId="5B8C5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4252ABF9">
            <w:pPr>
              <w:rPr>
                <w:szCs w:val="21"/>
              </w:rPr>
            </w:pPr>
          </w:p>
        </w:tc>
        <w:tc>
          <w:tcPr>
            <w:tcW w:w="8773" w:type="dxa"/>
            <w:noWrap w:val="0"/>
            <w:vAlign w:val="center"/>
          </w:tcPr>
          <w:p w14:paraId="3BD9A767">
            <w:pPr>
              <w:rPr>
                <w:szCs w:val="21"/>
              </w:rPr>
            </w:pPr>
            <w:r>
              <w:rPr>
                <w:szCs w:val="21"/>
              </w:rPr>
              <w:t>5</w:t>
            </w:r>
            <w:r>
              <w:rPr>
                <w:rFonts w:hint="eastAsia"/>
                <w:szCs w:val="21"/>
              </w:rPr>
              <w:t>.支持基于负载均衡技术的多活集群部署，能够通过简单增加服务器（虚拟机）方式进行业务并发能力的扩展和高可用。</w:t>
            </w:r>
          </w:p>
        </w:tc>
      </w:tr>
      <w:tr w14:paraId="11155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4C5289EE">
            <w:pPr>
              <w:rPr>
                <w:szCs w:val="21"/>
              </w:rPr>
            </w:pPr>
          </w:p>
        </w:tc>
        <w:tc>
          <w:tcPr>
            <w:tcW w:w="8773" w:type="dxa"/>
            <w:noWrap w:val="0"/>
            <w:vAlign w:val="center"/>
          </w:tcPr>
          <w:p w14:paraId="45D9CC84">
            <w:pPr>
              <w:rPr>
                <w:szCs w:val="21"/>
              </w:rPr>
            </w:pPr>
            <w:r>
              <w:rPr>
                <w:szCs w:val="21"/>
              </w:rPr>
              <w:t>6</w:t>
            </w:r>
            <w:r>
              <w:rPr>
                <w:rFonts w:hint="eastAsia"/>
                <w:szCs w:val="21"/>
              </w:rPr>
              <w:t>.支持5000以上终端同时在线，并发数达到500人（达到500并发后，单页面响应时间不高于3秒）；支持通过增加服务器集群部署实现性能扩容。</w:t>
            </w:r>
          </w:p>
        </w:tc>
      </w:tr>
      <w:tr w14:paraId="7433E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61" w:type="dxa"/>
            <w:vMerge w:val="continue"/>
            <w:noWrap w:val="0"/>
            <w:vAlign w:val="center"/>
          </w:tcPr>
          <w:p w14:paraId="0460646D">
            <w:pPr>
              <w:rPr>
                <w:szCs w:val="21"/>
              </w:rPr>
            </w:pPr>
          </w:p>
        </w:tc>
        <w:tc>
          <w:tcPr>
            <w:tcW w:w="8773" w:type="dxa"/>
            <w:noWrap w:val="0"/>
            <w:vAlign w:val="center"/>
          </w:tcPr>
          <w:p w14:paraId="78C5A015">
            <w:pPr>
              <w:rPr>
                <w:szCs w:val="21"/>
              </w:rPr>
            </w:pPr>
            <w:r>
              <w:rPr>
                <w:szCs w:val="21"/>
              </w:rPr>
              <w:t>7</w:t>
            </w:r>
            <w:r>
              <w:rPr>
                <w:rFonts w:hint="eastAsia"/>
                <w:szCs w:val="21"/>
              </w:rPr>
              <w:t>.</w:t>
            </w:r>
            <w:r>
              <w:rPr>
                <w:szCs w:val="21"/>
              </w:rPr>
              <w:t>整个系统能在长时间内正常、稳定工作，避免随数据量增长系统反应迟缓</w:t>
            </w:r>
            <w:r>
              <w:rPr>
                <w:rFonts w:hint="eastAsia"/>
                <w:szCs w:val="21"/>
              </w:rPr>
              <w:t>，</w:t>
            </w:r>
            <w:r>
              <w:rPr>
                <w:szCs w:val="21"/>
              </w:rPr>
              <w:t>涉及隐私信息严格按照授权权限分层管理，对日常管理操作进行日志记录。</w:t>
            </w:r>
          </w:p>
        </w:tc>
      </w:tr>
      <w:tr w14:paraId="434BB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3858FC6B">
            <w:pPr>
              <w:rPr>
                <w:szCs w:val="21"/>
              </w:rPr>
            </w:pPr>
          </w:p>
        </w:tc>
        <w:tc>
          <w:tcPr>
            <w:tcW w:w="8773" w:type="dxa"/>
            <w:noWrap w:val="0"/>
            <w:vAlign w:val="center"/>
          </w:tcPr>
          <w:p w14:paraId="725C44B3">
            <w:pPr>
              <w:rPr>
                <w:szCs w:val="21"/>
              </w:rPr>
            </w:pPr>
            <w:r>
              <w:rPr>
                <w:szCs w:val="21"/>
              </w:rPr>
              <w:t>8</w:t>
            </w:r>
            <w:r>
              <w:rPr>
                <w:rFonts w:hint="eastAsia"/>
                <w:szCs w:val="21"/>
              </w:rPr>
              <w:t>.</w:t>
            </w:r>
            <w:r>
              <w:rPr>
                <w:szCs w:val="21"/>
              </w:rPr>
              <w:t>对于需要保密的信息，采用密码技术进行加解密处理，防止信息的非授权泄漏，确保涉密信息在产生、存储、传递和处理过程中的保密。</w:t>
            </w:r>
          </w:p>
        </w:tc>
      </w:tr>
      <w:tr w14:paraId="4B5B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7F6594CC">
            <w:pPr>
              <w:rPr>
                <w:szCs w:val="21"/>
              </w:rPr>
            </w:pPr>
          </w:p>
        </w:tc>
        <w:tc>
          <w:tcPr>
            <w:tcW w:w="8773" w:type="dxa"/>
            <w:noWrap w:val="0"/>
            <w:vAlign w:val="center"/>
          </w:tcPr>
          <w:p w14:paraId="322C12C7">
            <w:pPr>
              <w:rPr>
                <w:rFonts w:hint="eastAsia" w:eastAsia="宋体"/>
                <w:szCs w:val="21"/>
                <w:lang w:eastAsia="zh-CN"/>
              </w:rPr>
            </w:pPr>
            <w:r>
              <w:rPr>
                <w:szCs w:val="21"/>
              </w:rPr>
              <w:t>9.</w:t>
            </w:r>
            <w:r>
              <w:rPr>
                <w:rFonts w:hint="eastAsia"/>
                <w:szCs w:val="21"/>
              </w:rPr>
              <w:t>系统须完成安全验证，无SQL注入、跨站攻击等常见类型安全漏洞</w:t>
            </w:r>
            <w:r>
              <w:rPr>
                <w:rFonts w:hint="eastAsia"/>
                <w:szCs w:val="21"/>
                <w:lang w:eastAsia="zh-CN"/>
              </w:rPr>
              <w:t>。</w:t>
            </w:r>
          </w:p>
        </w:tc>
      </w:tr>
      <w:tr w14:paraId="04BF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16B0AF09">
            <w:pPr>
              <w:rPr>
                <w:szCs w:val="21"/>
              </w:rPr>
            </w:pPr>
          </w:p>
        </w:tc>
        <w:tc>
          <w:tcPr>
            <w:tcW w:w="8773" w:type="dxa"/>
            <w:noWrap w:val="0"/>
            <w:vAlign w:val="center"/>
          </w:tcPr>
          <w:p w14:paraId="1E128672">
            <w:pPr>
              <w:rPr>
                <w:szCs w:val="21"/>
              </w:rPr>
            </w:pPr>
            <w:r>
              <w:rPr>
                <w:rFonts w:hint="eastAsia"/>
                <w:szCs w:val="21"/>
              </w:rPr>
              <w:t>1</w:t>
            </w:r>
            <w:r>
              <w:rPr>
                <w:szCs w:val="21"/>
              </w:rPr>
              <w:t>0.</w:t>
            </w:r>
            <w:r>
              <w:rPr>
                <w:rFonts w:hint="eastAsia"/>
                <w:szCs w:val="21"/>
              </w:rPr>
              <w:t>系统支持全程HTTPS功能，校方提供安全证书时实现HTTPS。</w:t>
            </w:r>
          </w:p>
        </w:tc>
      </w:tr>
      <w:tr w14:paraId="60A6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634" w:type="dxa"/>
            <w:gridSpan w:val="2"/>
            <w:noWrap w:val="0"/>
            <w:vAlign w:val="center"/>
          </w:tcPr>
          <w:p w14:paraId="04644E90">
            <w:pPr>
              <w:rPr>
                <w:b/>
                <w:szCs w:val="21"/>
              </w:rPr>
            </w:pPr>
            <w:r>
              <w:rPr>
                <w:b/>
                <w:szCs w:val="21"/>
              </w:rPr>
              <w:t>3</w:t>
            </w:r>
            <w:r>
              <w:rPr>
                <w:rFonts w:hint="eastAsia"/>
                <w:b/>
                <w:szCs w:val="21"/>
              </w:rPr>
              <w:t>.一站式网上办事大厅：包括流程引擎组件、表单引擎组件、接口中心组件、用户中心组件、办事大厅网站、</w:t>
            </w:r>
            <w:r>
              <w:rPr>
                <w:rFonts w:hint="eastAsia"/>
                <w:b/>
                <w:szCs w:val="21"/>
                <w:lang w:val="en-US" w:eastAsia="zh-CN"/>
              </w:rPr>
              <w:t>100个</w:t>
            </w:r>
            <w:r>
              <w:rPr>
                <w:rFonts w:hint="eastAsia"/>
                <w:b/>
                <w:szCs w:val="21"/>
              </w:rPr>
              <w:t>流程。</w:t>
            </w:r>
          </w:p>
        </w:tc>
      </w:tr>
      <w:tr w14:paraId="61AFF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restart"/>
            <w:noWrap w:val="0"/>
            <w:vAlign w:val="center"/>
          </w:tcPr>
          <w:p w14:paraId="5FCE8F2F">
            <w:pPr>
              <w:rPr>
                <w:szCs w:val="21"/>
              </w:rPr>
            </w:pPr>
            <w:r>
              <w:rPr>
                <w:szCs w:val="21"/>
              </w:rPr>
              <w:t>1</w:t>
            </w:r>
            <w:r>
              <w:rPr>
                <w:rFonts w:hint="eastAsia"/>
                <w:szCs w:val="21"/>
              </w:rPr>
              <w:t>）流程引擎、表单引擎</w:t>
            </w:r>
          </w:p>
        </w:tc>
        <w:tc>
          <w:tcPr>
            <w:tcW w:w="8773" w:type="dxa"/>
            <w:tcBorders>
              <w:top w:val="single" w:color="auto" w:sz="4" w:space="0"/>
              <w:left w:val="single" w:color="auto" w:sz="4" w:space="0"/>
              <w:bottom w:val="single" w:color="auto" w:sz="4" w:space="0"/>
              <w:right w:val="single" w:color="auto" w:sz="4" w:space="0"/>
            </w:tcBorders>
            <w:noWrap w:val="0"/>
            <w:vAlign w:val="center"/>
          </w:tcPr>
          <w:p w14:paraId="04BAAC80">
            <w:pPr>
              <w:rPr>
                <w:bCs/>
                <w:szCs w:val="21"/>
              </w:rPr>
            </w:pPr>
            <w:r>
              <w:rPr>
                <w:rFonts w:hint="eastAsia"/>
                <w:bCs/>
                <w:szCs w:val="21"/>
              </w:rPr>
              <w:t>1.流程引擎采用BPM平台，支持BPMN2.0规范流程配置导入、导出。</w:t>
            </w:r>
          </w:p>
        </w:tc>
      </w:tr>
      <w:tr w14:paraId="504C8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61" w:type="dxa"/>
            <w:vMerge w:val="continue"/>
            <w:noWrap w:val="0"/>
            <w:vAlign w:val="center"/>
          </w:tcPr>
          <w:p w14:paraId="7D76A037">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7BB9B40C">
            <w:pPr>
              <w:rPr>
                <w:bCs/>
                <w:szCs w:val="21"/>
              </w:rPr>
            </w:pPr>
            <w:r>
              <w:rPr>
                <w:rFonts w:hint="eastAsia"/>
                <w:bCs/>
                <w:szCs w:val="21"/>
              </w:rPr>
              <w:t>2.流程引擎内置图形化流程设计器，对于自定义定制流程需求无需经过二次软件开发与编码，使用拖拽方式即可实现流程定制，并搭配相关的可配置化参数设定，用户无需掌握编程语言，简单培训即可胜任开发工作。</w:t>
            </w:r>
          </w:p>
        </w:tc>
      </w:tr>
      <w:tr w14:paraId="3416D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581F628E">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07452E90">
            <w:pPr>
              <w:rPr>
                <w:bCs/>
                <w:szCs w:val="21"/>
              </w:rPr>
            </w:pPr>
            <w:r>
              <w:rPr>
                <w:rFonts w:hint="eastAsia"/>
                <w:bCs/>
                <w:szCs w:val="21"/>
              </w:rPr>
              <w:t>3.支持条件、串行、并行、聚合等流程路由。</w:t>
            </w:r>
          </w:p>
        </w:tc>
      </w:tr>
      <w:tr w14:paraId="6A44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5F5DA84D">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2A888C62">
            <w:pPr>
              <w:rPr>
                <w:bCs/>
                <w:szCs w:val="21"/>
              </w:rPr>
            </w:pPr>
            <w:r>
              <w:rPr>
                <w:rFonts w:hint="eastAsia"/>
                <w:bCs/>
                <w:szCs w:val="21"/>
              </w:rPr>
              <w:t>4.支持部门、岗位、角色、组，并支持一人多岗，一人多编制，一人多角色。</w:t>
            </w:r>
          </w:p>
        </w:tc>
      </w:tr>
      <w:tr w14:paraId="41B3E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0FC15CEE">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1F71AE9A">
            <w:pPr>
              <w:rPr>
                <w:bCs/>
                <w:szCs w:val="21"/>
              </w:rPr>
            </w:pPr>
            <w:r>
              <w:rPr>
                <w:rFonts w:hint="eastAsia"/>
                <w:bCs/>
                <w:szCs w:val="21"/>
              </w:rPr>
              <w:t>5. 流程定义支持设置环节抄送人，抄送任务的用户可同时支持多种模式配置；选择组织架构可同时指定用户、岗位、业务岗位、部门、公司、角色组；可以按变量中的值动态抄送；可以调用数据源动态抄送；</w:t>
            </w:r>
          </w:p>
        </w:tc>
      </w:tr>
      <w:tr w14:paraId="00FEB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062B68BA">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11E2768A">
            <w:pPr>
              <w:rPr>
                <w:bCs/>
                <w:szCs w:val="21"/>
              </w:rPr>
            </w:pPr>
            <w:r>
              <w:rPr>
                <w:rFonts w:hint="eastAsia"/>
                <w:bCs/>
                <w:szCs w:val="21"/>
              </w:rPr>
              <w:t>6.流程发布前要有自动调试分析功能，能提示出流程设置的错误和不完整。</w:t>
            </w:r>
          </w:p>
        </w:tc>
      </w:tr>
      <w:tr w14:paraId="7E99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22D3B49A">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16E76829">
            <w:pPr>
              <w:rPr>
                <w:bCs/>
                <w:szCs w:val="21"/>
              </w:rPr>
            </w:pPr>
            <w:r>
              <w:rPr>
                <w:rFonts w:hint="eastAsia"/>
                <w:bCs/>
                <w:szCs w:val="21"/>
              </w:rPr>
              <w:t>7.流程具有独立的规则引擎模块，能够通过配置即可实现复杂的流程规则，流程规则引擎中可以添加多个规则，每个规则的表达式支持等于、不等于、包含、大于、小于、大于等于、小于等于；规则满足后可执行激活指定步骤、取消某个步骤、取消实例、设置变量的值。</w:t>
            </w:r>
          </w:p>
        </w:tc>
      </w:tr>
      <w:tr w14:paraId="51E3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61884D9C">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44C59315">
            <w:pPr>
              <w:rPr>
                <w:bCs/>
                <w:szCs w:val="21"/>
              </w:rPr>
            </w:pPr>
            <w:r>
              <w:rPr>
                <w:rFonts w:hint="eastAsia"/>
                <w:bCs/>
                <w:szCs w:val="21"/>
              </w:rPr>
              <w:t>8</w:t>
            </w:r>
            <w:r>
              <w:rPr>
                <w:bCs/>
                <w:szCs w:val="21"/>
              </w:rPr>
              <w:t>.</w:t>
            </w:r>
            <w:r>
              <w:rPr>
                <w:rFonts w:hint="eastAsia"/>
                <w:bCs/>
                <w:szCs w:val="21"/>
              </w:rPr>
              <w:t>流程规则表达式左右两边可配置变量、常量、步骤状态、步骤。</w:t>
            </w:r>
          </w:p>
        </w:tc>
      </w:tr>
      <w:tr w14:paraId="10E87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61" w:type="dxa"/>
            <w:vMerge w:val="continue"/>
            <w:noWrap w:val="0"/>
            <w:vAlign w:val="center"/>
          </w:tcPr>
          <w:p w14:paraId="5F8FFEAA">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3BE74DFA">
            <w:pPr>
              <w:rPr>
                <w:bCs/>
                <w:szCs w:val="21"/>
              </w:rPr>
            </w:pPr>
            <w:r>
              <w:rPr>
                <w:rFonts w:hint="eastAsia"/>
                <w:bCs/>
                <w:szCs w:val="21"/>
              </w:rPr>
              <w:t>9.流程设计时可上传和下载表单打印模板。</w:t>
            </w:r>
          </w:p>
        </w:tc>
      </w:tr>
      <w:tr w14:paraId="7B67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49913072">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2A5CEE39">
            <w:pPr>
              <w:rPr>
                <w:bCs/>
                <w:szCs w:val="21"/>
              </w:rPr>
            </w:pPr>
            <w:r>
              <w:rPr>
                <w:rFonts w:hint="eastAsia"/>
                <w:bCs/>
                <w:szCs w:val="21"/>
              </w:rPr>
              <w:t>10.流程追溯审计：为了追溯以及审计，要求提供流程回放功能。</w:t>
            </w:r>
          </w:p>
        </w:tc>
      </w:tr>
      <w:tr w14:paraId="1D4D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20" w:hRule="atLeast"/>
          <w:jc w:val="center"/>
        </w:trPr>
        <w:tc>
          <w:tcPr>
            <w:tcW w:w="861" w:type="dxa"/>
            <w:vMerge w:val="continue"/>
            <w:noWrap w:val="0"/>
            <w:vAlign w:val="center"/>
          </w:tcPr>
          <w:p w14:paraId="270B8218">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47D6D0FC">
            <w:pPr>
              <w:rPr>
                <w:bCs/>
                <w:szCs w:val="21"/>
              </w:rPr>
            </w:pPr>
            <w:r>
              <w:rPr>
                <w:rFonts w:hint="eastAsia"/>
                <w:bCs/>
                <w:szCs w:val="21"/>
              </w:rPr>
              <w:t>1</w:t>
            </w:r>
            <w:r>
              <w:rPr>
                <w:bCs/>
                <w:szCs w:val="21"/>
              </w:rPr>
              <w:t>1.</w:t>
            </w:r>
            <w:r>
              <w:rPr>
                <w:rFonts w:hint="eastAsia"/>
                <w:bCs/>
                <w:szCs w:val="21"/>
              </w:rPr>
              <w:t>支持多种流程模式，支持单一签核、多人顺序、多人并行、多人任意、指定执行、加签、知会等常用模式。</w:t>
            </w:r>
          </w:p>
        </w:tc>
      </w:tr>
      <w:tr w14:paraId="33041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191A8EA1">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0A1FA076">
            <w:pPr>
              <w:rPr>
                <w:bCs/>
                <w:szCs w:val="21"/>
              </w:rPr>
            </w:pPr>
            <w:r>
              <w:rPr>
                <w:rFonts w:hint="eastAsia"/>
                <w:bCs/>
                <w:szCs w:val="21"/>
              </w:rPr>
              <w:t>1</w:t>
            </w:r>
            <w:r>
              <w:rPr>
                <w:bCs/>
                <w:szCs w:val="21"/>
              </w:rPr>
              <w:t>2</w:t>
            </w:r>
            <w:r>
              <w:rPr>
                <w:rFonts w:hint="eastAsia"/>
                <w:bCs/>
                <w:szCs w:val="21"/>
              </w:rPr>
              <w:t>.提供多种第三方整合接口方式（无代码整合），要求接口符合国际常用的方式。</w:t>
            </w:r>
          </w:p>
        </w:tc>
      </w:tr>
      <w:tr w14:paraId="7690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61" w:type="dxa"/>
            <w:vMerge w:val="continue"/>
            <w:noWrap w:val="0"/>
            <w:vAlign w:val="center"/>
          </w:tcPr>
          <w:p w14:paraId="72004054">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6F0871FE">
            <w:pPr>
              <w:rPr>
                <w:bCs/>
                <w:szCs w:val="21"/>
              </w:rPr>
            </w:pPr>
            <w:r>
              <w:rPr>
                <w:rFonts w:hint="eastAsia"/>
                <w:bCs/>
                <w:szCs w:val="21"/>
              </w:rPr>
              <w:t>13.外部系统可直接通过Http接口调用触发流程并附带相关业务数据。</w:t>
            </w:r>
          </w:p>
        </w:tc>
      </w:tr>
      <w:tr w14:paraId="3205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10055EB6">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14A725CB">
            <w:pPr>
              <w:rPr>
                <w:bCs/>
                <w:szCs w:val="21"/>
              </w:rPr>
            </w:pPr>
            <w:r>
              <w:rPr>
                <w:rFonts w:hint="eastAsia"/>
                <w:bCs/>
                <w:szCs w:val="21"/>
              </w:rPr>
              <w:t>14.可以直接引入第三方系统的数据作为流程表单的基础数据。</w:t>
            </w:r>
          </w:p>
        </w:tc>
      </w:tr>
      <w:tr w14:paraId="38B4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17DF4454">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2DBBDC90">
            <w:pPr>
              <w:rPr>
                <w:bCs/>
                <w:szCs w:val="21"/>
              </w:rPr>
            </w:pPr>
            <w:r>
              <w:rPr>
                <w:rFonts w:hint="eastAsia"/>
                <w:bCs/>
                <w:szCs w:val="21"/>
              </w:rPr>
              <w:t>15.支持退回到指定步骤、提交至退回步骤；分支场景下退回至多个来源步骤。</w:t>
            </w:r>
          </w:p>
        </w:tc>
      </w:tr>
      <w:tr w14:paraId="74BF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55089441">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4E4D98F7">
            <w:pPr>
              <w:rPr>
                <w:bCs/>
                <w:szCs w:val="21"/>
              </w:rPr>
            </w:pPr>
            <w:r>
              <w:rPr>
                <w:rFonts w:hint="eastAsia"/>
                <w:bCs/>
                <w:szCs w:val="21"/>
              </w:rPr>
              <w:t>16.支持流程版本管理，新版本发布可选择：</w:t>
            </w:r>
          </w:p>
          <w:p w14:paraId="0C25B213">
            <w:pPr>
              <w:rPr>
                <w:bCs/>
                <w:szCs w:val="21"/>
              </w:rPr>
            </w:pPr>
            <w:r>
              <w:rPr>
                <w:rFonts w:hint="eastAsia"/>
                <w:bCs/>
                <w:szCs w:val="21"/>
              </w:rPr>
              <w:t>1）停止现有所有流程使用最新版本；</w:t>
            </w:r>
          </w:p>
          <w:p w14:paraId="313C0150">
            <w:pPr>
              <w:rPr>
                <w:bCs/>
                <w:szCs w:val="21"/>
              </w:rPr>
            </w:pPr>
            <w:r>
              <w:rPr>
                <w:rFonts w:hint="eastAsia"/>
                <w:bCs/>
                <w:szCs w:val="21"/>
              </w:rPr>
              <w:t>2）已发起的流程按照之前版本，新发起的按照最新版本。</w:t>
            </w:r>
          </w:p>
        </w:tc>
      </w:tr>
      <w:tr w14:paraId="289F3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3C4E01B2">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1FAC1092">
            <w:pPr>
              <w:rPr>
                <w:bCs/>
                <w:szCs w:val="21"/>
              </w:rPr>
            </w:pPr>
            <w:r>
              <w:rPr>
                <w:rFonts w:hint="eastAsia"/>
                <w:bCs/>
                <w:szCs w:val="21"/>
              </w:rPr>
              <w:t>1</w:t>
            </w:r>
            <w:r>
              <w:rPr>
                <w:bCs/>
                <w:szCs w:val="21"/>
              </w:rPr>
              <w:t>7.</w:t>
            </w:r>
            <w:r>
              <w:rPr>
                <w:rFonts w:hint="eastAsia"/>
                <w:bCs/>
                <w:szCs w:val="21"/>
              </w:rPr>
              <w:t xml:space="preserve"> 流程图中可以添加Http服务任务，可在线配置http接口请求方式、输入参数、输出参数；并支持同步/异步执行；</w:t>
            </w:r>
          </w:p>
        </w:tc>
      </w:tr>
      <w:tr w14:paraId="2407A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641FB462">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61375FC9">
            <w:pPr>
              <w:rPr>
                <w:bCs/>
                <w:szCs w:val="21"/>
              </w:rPr>
            </w:pPr>
            <w:r>
              <w:rPr>
                <w:rFonts w:hint="eastAsia"/>
                <w:bCs/>
                <w:szCs w:val="21"/>
              </w:rPr>
              <w:t>1</w:t>
            </w:r>
            <w:r>
              <w:rPr>
                <w:bCs/>
                <w:szCs w:val="21"/>
              </w:rPr>
              <w:t>8</w:t>
            </w:r>
            <w:r>
              <w:rPr>
                <w:rFonts w:hint="eastAsia"/>
                <w:bCs/>
                <w:szCs w:val="21"/>
              </w:rPr>
              <w:t>．用户任务处理人支持变量、sql数据源、webapi数据源。</w:t>
            </w:r>
          </w:p>
        </w:tc>
      </w:tr>
      <w:tr w14:paraId="102E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37F188BE">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1D5AD0EE">
            <w:pPr>
              <w:rPr>
                <w:bCs/>
                <w:szCs w:val="21"/>
              </w:rPr>
            </w:pPr>
            <w:r>
              <w:rPr>
                <w:rFonts w:hint="eastAsia"/>
                <w:bCs/>
                <w:szCs w:val="21"/>
              </w:rPr>
              <w:t>1</w:t>
            </w:r>
            <w:r>
              <w:rPr>
                <w:bCs/>
                <w:szCs w:val="21"/>
              </w:rPr>
              <w:t>9.</w:t>
            </w:r>
            <w:r>
              <w:rPr>
                <w:rFonts w:hint="eastAsia"/>
                <w:bCs/>
                <w:szCs w:val="21"/>
              </w:rPr>
              <w:t xml:space="preserve"> 可以基于浏览器编写javascript，并提供</w:t>
            </w:r>
            <w:r>
              <w:rPr>
                <w:bCs/>
                <w:szCs w:val="21"/>
              </w:rPr>
              <w:t>sdk</w:t>
            </w:r>
            <w:r>
              <w:rPr>
                <w:rFonts w:hint="eastAsia"/>
                <w:bCs/>
                <w:szCs w:val="21"/>
              </w:rPr>
              <w:t>控制表单内容及调用第三方接口，可调用流程sdk控制流程规则.</w:t>
            </w:r>
          </w:p>
        </w:tc>
      </w:tr>
      <w:tr w14:paraId="05BBB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5093F31B">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15BE5748">
            <w:pPr>
              <w:rPr>
                <w:bCs/>
                <w:szCs w:val="21"/>
              </w:rPr>
            </w:pPr>
            <w:r>
              <w:rPr>
                <w:bCs/>
                <w:szCs w:val="21"/>
              </w:rPr>
              <w:t>20.</w:t>
            </w:r>
            <w:r>
              <w:rPr>
                <w:rFonts w:hint="eastAsia"/>
                <w:bCs/>
                <w:szCs w:val="21"/>
              </w:rPr>
              <w:t xml:space="preserve"> 抄送任务可以单独设计表单内容。</w:t>
            </w:r>
          </w:p>
        </w:tc>
      </w:tr>
      <w:tr w14:paraId="7BFD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6CA8FA4D">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53CA1F13">
            <w:pPr>
              <w:rPr>
                <w:bCs/>
                <w:szCs w:val="21"/>
              </w:rPr>
            </w:pPr>
            <w:r>
              <w:rPr>
                <w:rFonts w:hint="eastAsia"/>
                <w:bCs/>
                <w:szCs w:val="21"/>
              </w:rPr>
              <w:t>2</w:t>
            </w:r>
            <w:r>
              <w:rPr>
                <w:bCs/>
                <w:szCs w:val="21"/>
              </w:rPr>
              <w:t>1.</w:t>
            </w:r>
            <w:r>
              <w:rPr>
                <w:rFonts w:hint="eastAsia"/>
                <w:bCs/>
                <w:szCs w:val="21"/>
              </w:rPr>
              <w:t xml:space="preserve"> 流程设计时操作签入/签出，签出后其它用户不可修改，防止多人修改同一流程。</w:t>
            </w:r>
          </w:p>
        </w:tc>
      </w:tr>
      <w:tr w14:paraId="3FB13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57AF1A61">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78179DFF">
            <w:pPr>
              <w:rPr>
                <w:bCs/>
                <w:szCs w:val="21"/>
              </w:rPr>
            </w:pPr>
            <w:r>
              <w:rPr>
                <w:rFonts w:hint="eastAsia"/>
                <w:bCs/>
                <w:szCs w:val="21"/>
              </w:rPr>
              <w:t>2</w:t>
            </w:r>
            <w:r>
              <w:rPr>
                <w:rFonts w:hint="eastAsia"/>
                <w:bCs/>
                <w:szCs w:val="21"/>
                <w:lang w:val="en-US" w:eastAsia="zh-CN"/>
              </w:rPr>
              <w:t>2</w:t>
            </w:r>
            <w:r>
              <w:rPr>
                <w:bCs/>
                <w:szCs w:val="21"/>
              </w:rPr>
              <w:t>.在用户步骤中添加事件规则，包含完成事件、退回事件、超时事件；每个事件中可以添加规则条件，并配置满足规则后的动作，不满足规则时的动作</w:t>
            </w:r>
            <w:r>
              <w:rPr>
                <w:rFonts w:hint="eastAsia"/>
                <w:bCs/>
                <w:szCs w:val="21"/>
              </w:rPr>
              <w:t>。</w:t>
            </w:r>
          </w:p>
        </w:tc>
      </w:tr>
      <w:tr w14:paraId="76078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53502C04">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77630D0E">
            <w:pPr>
              <w:rPr>
                <w:bCs/>
                <w:szCs w:val="21"/>
              </w:rPr>
            </w:pPr>
            <w:r>
              <w:rPr>
                <w:rFonts w:hint="eastAsia"/>
                <w:bCs/>
                <w:szCs w:val="21"/>
              </w:rPr>
              <w:t>2</w:t>
            </w:r>
            <w:r>
              <w:rPr>
                <w:rFonts w:hint="eastAsia"/>
                <w:bCs/>
                <w:szCs w:val="21"/>
                <w:lang w:val="en-US" w:eastAsia="zh-CN"/>
              </w:rPr>
              <w:t>3</w:t>
            </w:r>
            <w:r>
              <w:rPr>
                <w:bCs/>
                <w:szCs w:val="21"/>
              </w:rPr>
              <w:t>.</w:t>
            </w:r>
            <w:r>
              <w:rPr>
                <w:rFonts w:hint="eastAsia"/>
                <w:bCs/>
                <w:szCs w:val="21"/>
              </w:rPr>
              <w:t>流程中上传的文本文件一般要求优先为PDF，支持微软OFFICE格式、WPS格式、常见压缩格式（zip,rar,.7z,tar)，图片（jpg/jpeg,png,bmp)。</w:t>
            </w:r>
          </w:p>
        </w:tc>
      </w:tr>
      <w:tr w14:paraId="6687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4A1392FE">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21CD1E3F">
            <w:pPr>
              <w:rPr>
                <w:bCs/>
                <w:szCs w:val="21"/>
              </w:rPr>
            </w:pPr>
            <w:r>
              <w:rPr>
                <w:rFonts w:hint="eastAsia"/>
                <w:bCs/>
                <w:szCs w:val="21"/>
              </w:rPr>
              <w:t>2</w:t>
            </w:r>
            <w:r>
              <w:rPr>
                <w:rFonts w:hint="eastAsia"/>
                <w:bCs/>
                <w:szCs w:val="21"/>
                <w:lang w:val="en-US" w:eastAsia="zh-CN"/>
              </w:rPr>
              <w:t>4</w:t>
            </w:r>
            <w:r>
              <w:rPr>
                <w:bCs/>
                <w:szCs w:val="21"/>
              </w:rPr>
              <w:t>.</w:t>
            </w:r>
            <w:r>
              <w:rPr>
                <w:rFonts w:hint="eastAsia"/>
                <w:bCs/>
                <w:szCs w:val="21"/>
              </w:rPr>
              <w:t>业务工作流的每一步能够有该步骤的注释说明、需要的材料及模板、该项业务对应的承办单位的岗位，以及下一步的注释说明。</w:t>
            </w:r>
          </w:p>
        </w:tc>
      </w:tr>
      <w:tr w14:paraId="1809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3ADAB7B3">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6C78D838">
            <w:pPr>
              <w:rPr>
                <w:bCs/>
                <w:szCs w:val="21"/>
              </w:rPr>
            </w:pPr>
            <w:r>
              <w:rPr>
                <w:rFonts w:hint="eastAsia"/>
                <w:bCs/>
                <w:szCs w:val="21"/>
              </w:rPr>
              <w:t>2</w:t>
            </w:r>
            <w:r>
              <w:rPr>
                <w:rFonts w:hint="eastAsia"/>
                <w:bCs/>
                <w:szCs w:val="21"/>
                <w:lang w:val="en-US" w:eastAsia="zh-CN"/>
              </w:rPr>
              <w:t>5</w:t>
            </w:r>
            <w:r>
              <w:rPr>
                <w:bCs/>
                <w:szCs w:val="21"/>
              </w:rPr>
              <w:t>.</w:t>
            </w:r>
            <w:r>
              <w:rPr>
                <w:rFonts w:hint="eastAsia"/>
                <w:bCs/>
                <w:szCs w:val="21"/>
              </w:rPr>
              <w:t>可视化显示每个业务工作流程的进度。流程引擎支持流程活动记录，可在流程运行中、结束后查看流程的所有节点流转信息。</w:t>
            </w:r>
          </w:p>
        </w:tc>
      </w:tr>
      <w:tr w14:paraId="4576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77A6F5A5">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460EBA11">
            <w:pPr>
              <w:rPr>
                <w:bCs/>
                <w:szCs w:val="21"/>
              </w:rPr>
            </w:pPr>
            <w:r>
              <w:rPr>
                <w:rFonts w:hint="eastAsia"/>
                <w:bCs/>
                <w:szCs w:val="21"/>
              </w:rPr>
              <w:t>2</w:t>
            </w:r>
            <w:r>
              <w:rPr>
                <w:rFonts w:hint="eastAsia"/>
                <w:bCs/>
                <w:szCs w:val="21"/>
                <w:lang w:val="en-US" w:eastAsia="zh-CN"/>
              </w:rPr>
              <w:t>6</w:t>
            </w:r>
            <w:r>
              <w:rPr>
                <w:bCs/>
                <w:szCs w:val="21"/>
              </w:rPr>
              <w:t>.</w:t>
            </w:r>
            <w:r>
              <w:rPr>
                <w:rFonts w:hint="eastAsia"/>
                <w:bCs/>
                <w:szCs w:val="21"/>
              </w:rPr>
              <w:t>业务工作流可以拷贝修改（或类似功能），简化新建相似业务工作流的操作流程。</w:t>
            </w:r>
          </w:p>
        </w:tc>
      </w:tr>
      <w:tr w14:paraId="2288C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6DCDEC46">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67C251D3">
            <w:pPr>
              <w:rPr>
                <w:bCs/>
                <w:szCs w:val="21"/>
              </w:rPr>
            </w:pPr>
            <w:r>
              <w:rPr>
                <w:rFonts w:hint="eastAsia"/>
                <w:bCs/>
                <w:szCs w:val="21"/>
              </w:rPr>
              <w:t>2</w:t>
            </w:r>
            <w:r>
              <w:rPr>
                <w:rFonts w:hint="eastAsia"/>
                <w:bCs/>
                <w:szCs w:val="21"/>
                <w:lang w:val="en-US" w:eastAsia="zh-CN"/>
              </w:rPr>
              <w:t>7</w:t>
            </w:r>
            <w:r>
              <w:rPr>
                <w:bCs/>
                <w:szCs w:val="21"/>
              </w:rPr>
              <w:t>.</w:t>
            </w:r>
            <w:r>
              <w:rPr>
                <w:rFonts w:hint="eastAsia"/>
                <w:bCs/>
                <w:szCs w:val="21"/>
              </w:rPr>
              <w:t>业务工作流更新时，管理员可以停止该业务流程的新建项目功能，但不影响已经开始在运行的业务流。</w:t>
            </w:r>
          </w:p>
        </w:tc>
      </w:tr>
      <w:tr w14:paraId="53A51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346C6988">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508908F7">
            <w:pPr>
              <w:rPr>
                <w:bCs/>
                <w:szCs w:val="21"/>
              </w:rPr>
            </w:pPr>
            <w:r>
              <w:rPr>
                <w:rFonts w:hint="eastAsia"/>
                <w:bCs/>
                <w:szCs w:val="21"/>
              </w:rPr>
              <w:t>2</w:t>
            </w:r>
            <w:r>
              <w:rPr>
                <w:rFonts w:hint="eastAsia"/>
                <w:bCs/>
                <w:szCs w:val="21"/>
                <w:lang w:val="en-US" w:eastAsia="zh-CN"/>
              </w:rPr>
              <w:t>8</w:t>
            </w:r>
            <w:r>
              <w:rPr>
                <w:bCs/>
                <w:szCs w:val="21"/>
              </w:rPr>
              <w:t>.</w:t>
            </w:r>
            <w:r>
              <w:rPr>
                <w:rFonts w:hint="eastAsia"/>
                <w:bCs/>
                <w:szCs w:val="21"/>
              </w:rPr>
              <w:t>针对业务流程时间比较冗长的业务流。允许业务流在指定位置“阶段性结束”；在经长期一段时间后，再“承接</w:t>
            </w:r>
            <w:r>
              <w:rPr>
                <w:rFonts w:hint="eastAsia"/>
                <w:bCs/>
                <w:szCs w:val="21"/>
                <w:lang w:eastAsia="zh-CN"/>
              </w:rPr>
              <w:t>前端</w:t>
            </w:r>
            <w:r>
              <w:rPr>
                <w:rFonts w:hint="eastAsia"/>
                <w:bCs/>
                <w:szCs w:val="21"/>
              </w:rPr>
              <w:t>”，继续完成后续业务工作。</w:t>
            </w:r>
          </w:p>
        </w:tc>
      </w:tr>
      <w:tr w14:paraId="20431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3AC393D6">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453F9C8C">
            <w:pPr>
              <w:rPr>
                <w:bCs/>
                <w:szCs w:val="21"/>
              </w:rPr>
            </w:pPr>
            <w:r>
              <w:rPr>
                <w:rFonts w:hint="eastAsia"/>
                <w:bCs/>
                <w:szCs w:val="21"/>
                <w:lang w:val="en-US" w:eastAsia="zh-CN"/>
              </w:rPr>
              <w:t>29</w:t>
            </w:r>
            <w:r>
              <w:rPr>
                <w:bCs/>
                <w:szCs w:val="21"/>
              </w:rPr>
              <w:t>.</w:t>
            </w:r>
            <w:r>
              <w:rPr>
                <w:rFonts w:hint="eastAsia"/>
                <w:bCs/>
                <w:szCs w:val="21"/>
              </w:rPr>
              <w:t>可视化显示每个业务工作流程的进度。针对具体的流程需求配置流程的条件流转和并行流转。</w:t>
            </w:r>
          </w:p>
        </w:tc>
      </w:tr>
      <w:tr w14:paraId="501B1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61" w:type="dxa"/>
            <w:vMerge w:val="continue"/>
            <w:noWrap w:val="0"/>
            <w:vAlign w:val="center"/>
          </w:tcPr>
          <w:p w14:paraId="7722249A">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54882347">
            <w:pPr>
              <w:rPr>
                <w:bCs/>
                <w:szCs w:val="21"/>
              </w:rPr>
            </w:pPr>
            <w:r>
              <w:rPr>
                <w:rFonts w:hint="eastAsia"/>
                <w:bCs/>
                <w:szCs w:val="21"/>
              </w:rPr>
              <w:t>3</w:t>
            </w:r>
            <w:r>
              <w:rPr>
                <w:rFonts w:hint="eastAsia"/>
                <w:bCs/>
                <w:szCs w:val="21"/>
                <w:lang w:val="en-US" w:eastAsia="zh-CN"/>
              </w:rPr>
              <w:t>0</w:t>
            </w:r>
            <w:r>
              <w:rPr>
                <w:bCs/>
                <w:szCs w:val="21"/>
              </w:rPr>
              <w:t>.</w:t>
            </w:r>
            <w:r>
              <w:rPr>
                <w:rFonts w:hint="eastAsia"/>
                <w:bCs/>
                <w:szCs w:val="21"/>
              </w:rPr>
              <w:t>每个业务流可以配置相应的管理员。管理员可以对流程的审批操作进行回退以及打印和导出。</w:t>
            </w:r>
          </w:p>
        </w:tc>
      </w:tr>
      <w:tr w14:paraId="74A2C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3F237DDD">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0D3333A1">
            <w:pPr>
              <w:rPr>
                <w:bCs/>
                <w:szCs w:val="21"/>
              </w:rPr>
            </w:pPr>
            <w:r>
              <w:rPr>
                <w:rFonts w:hint="eastAsia"/>
                <w:bCs/>
                <w:szCs w:val="21"/>
              </w:rPr>
              <w:t>3</w:t>
            </w:r>
            <w:r>
              <w:rPr>
                <w:rFonts w:hint="eastAsia"/>
                <w:bCs/>
                <w:szCs w:val="21"/>
                <w:lang w:val="en-US" w:eastAsia="zh-CN"/>
              </w:rPr>
              <w:t>1</w:t>
            </w:r>
            <w:r>
              <w:rPr>
                <w:bCs/>
                <w:szCs w:val="21"/>
              </w:rPr>
              <w:t>.</w:t>
            </w:r>
            <w:r>
              <w:rPr>
                <w:rFonts w:hint="eastAsia"/>
                <w:bCs/>
                <w:szCs w:val="21"/>
              </w:rPr>
              <w:t>支持流程流转结束事后的评价功能。</w:t>
            </w:r>
          </w:p>
        </w:tc>
      </w:tr>
      <w:tr w14:paraId="2062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0F405AD6">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77743E3F">
            <w:pPr>
              <w:rPr>
                <w:bCs/>
                <w:szCs w:val="21"/>
              </w:rPr>
            </w:pPr>
            <w:r>
              <w:rPr>
                <w:bCs/>
                <w:szCs w:val="21"/>
              </w:rPr>
              <w:t>3</w:t>
            </w:r>
            <w:r>
              <w:rPr>
                <w:rFonts w:hint="eastAsia"/>
                <w:bCs/>
                <w:szCs w:val="21"/>
                <w:lang w:val="en-US" w:eastAsia="zh-CN"/>
              </w:rPr>
              <w:t>2</w:t>
            </w:r>
            <w:r>
              <w:rPr>
                <w:bCs/>
                <w:szCs w:val="21"/>
              </w:rPr>
              <w:t>.</w:t>
            </w:r>
            <w:r>
              <w:rPr>
                <w:rFonts w:hint="eastAsia"/>
                <w:bCs/>
                <w:szCs w:val="21"/>
              </w:rPr>
              <w:t xml:space="preserve"> 提供流程分析报表：可按人、组织、流程、环节等分析等待时间、流程参与人数、流程流转时长等。</w:t>
            </w:r>
          </w:p>
        </w:tc>
      </w:tr>
      <w:tr w14:paraId="3B3C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2ED3D68C">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2DEE5315">
            <w:pPr>
              <w:rPr>
                <w:bCs/>
                <w:szCs w:val="21"/>
              </w:rPr>
            </w:pPr>
            <w:r>
              <w:rPr>
                <w:bCs/>
                <w:szCs w:val="21"/>
              </w:rPr>
              <w:t>3</w:t>
            </w:r>
            <w:r>
              <w:rPr>
                <w:rFonts w:hint="eastAsia"/>
                <w:bCs/>
                <w:szCs w:val="21"/>
                <w:lang w:val="en-US" w:eastAsia="zh-CN"/>
              </w:rPr>
              <w:t>3</w:t>
            </w:r>
            <w:r>
              <w:rPr>
                <w:rFonts w:hint="eastAsia"/>
                <w:bCs/>
                <w:szCs w:val="21"/>
              </w:rPr>
              <w:t>.报表支持图形化饼图、柱状图、饼图等。</w:t>
            </w:r>
          </w:p>
        </w:tc>
      </w:tr>
      <w:tr w14:paraId="76307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restart"/>
            <w:noWrap w:val="0"/>
            <w:vAlign w:val="center"/>
          </w:tcPr>
          <w:p w14:paraId="6D5D9B66">
            <w:pPr>
              <w:rPr>
                <w:szCs w:val="21"/>
              </w:rPr>
            </w:pPr>
            <w:r>
              <w:rPr>
                <w:szCs w:val="21"/>
              </w:rPr>
              <w:t>2</w:t>
            </w:r>
            <w:r>
              <w:rPr>
                <w:rFonts w:hint="eastAsia"/>
                <w:szCs w:val="21"/>
              </w:rPr>
              <w:t>）表单引擎组件</w:t>
            </w:r>
          </w:p>
        </w:tc>
        <w:tc>
          <w:tcPr>
            <w:tcW w:w="8773" w:type="dxa"/>
            <w:tcBorders>
              <w:top w:val="single" w:color="auto" w:sz="4" w:space="0"/>
              <w:left w:val="single" w:color="auto" w:sz="4" w:space="0"/>
              <w:bottom w:val="single" w:color="auto" w:sz="4" w:space="0"/>
              <w:right w:val="single" w:color="auto" w:sz="4" w:space="0"/>
            </w:tcBorders>
            <w:noWrap w:val="0"/>
            <w:vAlign w:val="center"/>
          </w:tcPr>
          <w:p w14:paraId="24344708">
            <w:pPr>
              <w:rPr>
                <w:szCs w:val="21"/>
              </w:rPr>
            </w:pPr>
            <w:r>
              <w:rPr>
                <w:rFonts w:hint="eastAsia"/>
                <w:szCs w:val="21"/>
              </w:rPr>
              <w:t>1. 支持全功能的图形化表单设计，可根据业务需求自定义任意样式的表单。</w:t>
            </w:r>
          </w:p>
        </w:tc>
      </w:tr>
      <w:tr w14:paraId="37A52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1B2D35DD">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0C2300AE">
            <w:pPr>
              <w:rPr>
                <w:szCs w:val="21"/>
              </w:rPr>
            </w:pPr>
            <w:r>
              <w:rPr>
                <w:rFonts w:hint="eastAsia"/>
                <w:szCs w:val="21"/>
              </w:rPr>
              <w:t>2. 支持可视化建模，提供拖拽式、所见即所得的图形化表单设计能力，如可通过文件（包括excel、txt格式）导入模式、复制</w:t>
            </w:r>
            <w:r>
              <w:rPr>
                <w:szCs w:val="21"/>
              </w:rPr>
              <w:t>excel</w:t>
            </w:r>
            <w:r>
              <w:rPr>
                <w:rFonts w:hint="eastAsia"/>
                <w:szCs w:val="21"/>
              </w:rPr>
              <w:t>表格、文本内容粘贴自动生成表单。</w:t>
            </w:r>
          </w:p>
        </w:tc>
      </w:tr>
      <w:tr w14:paraId="3F157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59AC9E7D">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768B4E3D">
            <w:pPr>
              <w:rPr>
                <w:szCs w:val="21"/>
              </w:rPr>
            </w:pPr>
            <w:r>
              <w:rPr>
                <w:rFonts w:hint="eastAsia"/>
                <w:szCs w:val="21"/>
              </w:rPr>
              <w:t>3.</w:t>
            </w:r>
            <w:r>
              <w:rPr>
                <w:szCs w:val="21"/>
              </w:rPr>
              <w:t xml:space="preserve"> PC</w:t>
            </w:r>
            <w:r>
              <w:rPr>
                <w:rFonts w:hint="eastAsia"/>
                <w:szCs w:val="21"/>
              </w:rPr>
              <w:t>端表单开发完成，移动端表单（微信、钉钉或者</w:t>
            </w:r>
            <w:r>
              <w:rPr>
                <w:szCs w:val="21"/>
              </w:rPr>
              <w:t>APP</w:t>
            </w:r>
            <w:r>
              <w:rPr>
                <w:rFonts w:hint="eastAsia"/>
                <w:szCs w:val="21"/>
              </w:rPr>
              <w:t>）无需做任何开发自动生成，移动端表单样式以移动端控件方式展现。</w:t>
            </w:r>
          </w:p>
        </w:tc>
      </w:tr>
      <w:tr w14:paraId="562A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019E98FD">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4FB9E9AF">
            <w:pPr>
              <w:rPr>
                <w:szCs w:val="21"/>
              </w:rPr>
            </w:pPr>
            <w:r>
              <w:rPr>
                <w:rFonts w:hint="eastAsia"/>
                <w:szCs w:val="21"/>
              </w:rPr>
              <w:t>4.用户填写表单时，可自动从数据中心提取数据，避免师生的重复填报。</w:t>
            </w:r>
          </w:p>
        </w:tc>
      </w:tr>
      <w:tr w14:paraId="2E192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4513B4CC">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3A424D3F">
            <w:pPr>
              <w:rPr>
                <w:szCs w:val="21"/>
              </w:rPr>
            </w:pPr>
            <w:r>
              <w:rPr>
                <w:rFonts w:hint="eastAsia"/>
                <w:szCs w:val="21"/>
              </w:rPr>
              <w:t>5.内置支持表单版本管理。</w:t>
            </w:r>
          </w:p>
        </w:tc>
      </w:tr>
      <w:tr w14:paraId="5218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019AF5D5">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055C5483">
            <w:pPr>
              <w:rPr>
                <w:szCs w:val="21"/>
              </w:rPr>
            </w:pPr>
            <w:r>
              <w:rPr>
                <w:rFonts w:hint="eastAsia"/>
                <w:szCs w:val="21"/>
              </w:rPr>
              <w:t>6.表单设计工具提供不同审批人员显示不同页面的设计。</w:t>
            </w:r>
          </w:p>
        </w:tc>
      </w:tr>
      <w:tr w14:paraId="560D5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04F4A4C9">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5215F56B">
            <w:pPr>
              <w:rPr>
                <w:szCs w:val="21"/>
              </w:rPr>
            </w:pPr>
            <w:r>
              <w:rPr>
                <w:rFonts w:hint="eastAsia"/>
                <w:szCs w:val="21"/>
              </w:rPr>
              <w:t>7.支持字段级表单权限控制：</w:t>
            </w:r>
          </w:p>
          <w:p w14:paraId="23217A1E">
            <w:pPr>
              <w:rPr>
                <w:szCs w:val="21"/>
              </w:rPr>
            </w:pPr>
            <w:r>
              <w:rPr>
                <w:rFonts w:hint="eastAsia"/>
                <w:szCs w:val="21"/>
              </w:rPr>
              <w:t>基于用户、角色、组织结构分配用户入口访问、填报的权限；</w:t>
            </w:r>
          </w:p>
          <w:p w14:paraId="27588771">
            <w:pPr>
              <w:rPr>
                <w:szCs w:val="21"/>
              </w:rPr>
            </w:pPr>
            <w:r>
              <w:rPr>
                <w:rFonts w:hint="eastAsia"/>
                <w:szCs w:val="21"/>
              </w:rPr>
              <w:t>支持根据不同流程活动配置表单内部字段显示、编辑的权限（即设置各个流程节点可编辑的字段，针对不同流程节点配置每一个表单字段的读、写、查权限）。</w:t>
            </w:r>
          </w:p>
        </w:tc>
      </w:tr>
      <w:tr w14:paraId="6D9D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36A913A4">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55E7BD34">
            <w:pPr>
              <w:rPr>
                <w:szCs w:val="21"/>
              </w:rPr>
            </w:pPr>
            <w:r>
              <w:rPr>
                <w:rFonts w:hint="eastAsia"/>
                <w:szCs w:val="21"/>
              </w:rPr>
              <w:t>8</w:t>
            </w:r>
            <w:r>
              <w:rPr>
                <w:szCs w:val="21"/>
              </w:rPr>
              <w:t>.</w:t>
            </w:r>
            <w:r>
              <w:rPr>
                <w:rFonts w:hint="eastAsia"/>
                <w:szCs w:val="21"/>
              </w:rPr>
              <w:t xml:space="preserve"> 表单生成支持复制文本内容粘贴生成整个表单，也可以是局部字段。</w:t>
            </w:r>
          </w:p>
        </w:tc>
      </w:tr>
      <w:tr w14:paraId="4D3B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1E5E5FBE">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7CD13A26">
            <w:pPr>
              <w:rPr>
                <w:szCs w:val="21"/>
              </w:rPr>
            </w:pPr>
            <w:r>
              <w:rPr>
                <w:rFonts w:hint="eastAsia"/>
                <w:szCs w:val="21"/>
              </w:rPr>
              <w:t>9. 表单生成支持导入数据模型自动生成主表与明细。</w:t>
            </w:r>
          </w:p>
        </w:tc>
      </w:tr>
      <w:tr w14:paraId="7D7DF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678F2F6C">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51812CA2">
            <w:pPr>
              <w:rPr>
                <w:szCs w:val="21"/>
              </w:rPr>
            </w:pPr>
            <w:r>
              <w:rPr>
                <w:rFonts w:hint="eastAsia"/>
                <w:szCs w:val="21"/>
              </w:rPr>
              <w:t>1</w:t>
            </w:r>
            <w:r>
              <w:rPr>
                <w:szCs w:val="21"/>
              </w:rPr>
              <w:t>0.</w:t>
            </w:r>
            <w:r>
              <w:rPr>
                <w:rFonts w:hint="eastAsia"/>
                <w:szCs w:val="21"/>
              </w:rPr>
              <w:t xml:space="preserve"> 移动端列表支持格式化行显示，可在线配置行数据的html模板及动作JS。</w:t>
            </w:r>
          </w:p>
        </w:tc>
      </w:tr>
      <w:tr w14:paraId="1E0B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2DC3D887">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6623C1BF">
            <w:pPr>
              <w:rPr>
                <w:szCs w:val="21"/>
              </w:rPr>
            </w:pPr>
            <w:r>
              <w:rPr>
                <w:rFonts w:hint="eastAsia"/>
                <w:szCs w:val="21"/>
              </w:rPr>
              <w:t>1</w:t>
            </w:r>
            <w:r>
              <w:rPr>
                <w:szCs w:val="21"/>
              </w:rPr>
              <w:t>2.</w:t>
            </w:r>
            <w:r>
              <w:rPr>
                <w:rFonts w:hint="eastAsia"/>
                <w:szCs w:val="21"/>
              </w:rPr>
              <w:t xml:space="preserve"> 表单支持数据选择控件，数据选项可配置为调用sql数据源，webapi接口数据源</w:t>
            </w:r>
          </w:p>
        </w:tc>
      </w:tr>
      <w:tr w14:paraId="212E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5AEED4C0">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724BD0DE">
            <w:pPr>
              <w:rPr>
                <w:szCs w:val="21"/>
              </w:rPr>
            </w:pPr>
            <w:r>
              <w:rPr>
                <w:rFonts w:hint="eastAsia"/>
                <w:szCs w:val="21"/>
              </w:rPr>
              <w:t>1</w:t>
            </w:r>
            <w:r>
              <w:rPr>
                <w:szCs w:val="21"/>
              </w:rPr>
              <w:t>3.</w:t>
            </w:r>
            <w:r>
              <w:rPr>
                <w:rFonts w:hint="eastAsia"/>
                <w:szCs w:val="21"/>
              </w:rPr>
              <w:t xml:space="preserve"> 数据列表可以配置从主模型、子模型中获取业务数据</w:t>
            </w:r>
          </w:p>
        </w:tc>
      </w:tr>
      <w:tr w14:paraId="06CD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5E9032F8">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42E09AA3">
            <w:pPr>
              <w:rPr>
                <w:szCs w:val="21"/>
              </w:rPr>
            </w:pPr>
            <w:r>
              <w:rPr>
                <w:rFonts w:hint="eastAsia"/>
                <w:szCs w:val="21"/>
              </w:rPr>
              <w:t>1</w:t>
            </w:r>
            <w:r>
              <w:rPr>
                <w:szCs w:val="21"/>
              </w:rPr>
              <w:t>4.</w:t>
            </w:r>
            <w:r>
              <w:rPr>
                <w:rFonts w:hint="eastAsia"/>
                <w:szCs w:val="21"/>
              </w:rPr>
              <w:t xml:space="preserve"> 可在线管理表单生成的数据模型，可修改字段类型、字段长度、默认值，可添加新字段，可一键同步数据模型结构与数据库表结构一致</w:t>
            </w:r>
          </w:p>
        </w:tc>
      </w:tr>
      <w:tr w14:paraId="3751E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00CCD372">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09C63970">
            <w:pPr>
              <w:rPr>
                <w:szCs w:val="21"/>
              </w:rPr>
            </w:pPr>
            <w:r>
              <w:rPr>
                <w:rFonts w:hint="eastAsia"/>
                <w:szCs w:val="21"/>
              </w:rPr>
              <w:t>1</w:t>
            </w:r>
            <w:r>
              <w:rPr>
                <w:szCs w:val="21"/>
              </w:rPr>
              <w:t>5.</w:t>
            </w:r>
            <w:r>
              <w:rPr>
                <w:rFonts w:hint="eastAsia"/>
                <w:szCs w:val="21"/>
              </w:rPr>
              <w:t xml:space="preserve"> 可将业务库中的表或视图反转为数据模型，根据数据模型设计填报表单、数据列表、图形</w:t>
            </w:r>
          </w:p>
        </w:tc>
      </w:tr>
      <w:tr w14:paraId="10A8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7FE09BE0">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06A857BC">
            <w:pPr>
              <w:rPr>
                <w:szCs w:val="21"/>
              </w:rPr>
            </w:pPr>
            <w:r>
              <w:rPr>
                <w:rFonts w:hint="eastAsia"/>
                <w:szCs w:val="21"/>
              </w:rPr>
              <w:t>1</w:t>
            </w:r>
            <w:r>
              <w:rPr>
                <w:szCs w:val="21"/>
              </w:rPr>
              <w:t>6.</w:t>
            </w:r>
            <w:r>
              <w:rPr>
                <w:rFonts w:hint="eastAsia"/>
                <w:szCs w:val="21"/>
              </w:rPr>
              <w:t>在表单的显示和保存时可以设置脚本，通过脚本可以获取和修改表单的数据，还可以在表单保存前中止保存操作，灵活控制业务数据操作。</w:t>
            </w:r>
          </w:p>
        </w:tc>
      </w:tr>
      <w:tr w14:paraId="45A6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7D135AC7">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241B1F26">
            <w:pPr>
              <w:rPr>
                <w:szCs w:val="21"/>
              </w:rPr>
            </w:pPr>
            <w:r>
              <w:rPr>
                <w:rFonts w:hint="eastAsia"/>
                <w:szCs w:val="21"/>
              </w:rPr>
              <w:t>1</w:t>
            </w:r>
            <w:r>
              <w:rPr>
                <w:szCs w:val="21"/>
              </w:rPr>
              <w:t>7.</w:t>
            </w:r>
            <w:r>
              <w:rPr>
                <w:rFonts w:hint="eastAsia"/>
                <w:szCs w:val="21"/>
              </w:rPr>
              <w:t>支持流程全局表单、流程实例表单和各节点的表单设置，表单分为二种：在线表单、URL表单，表单设置好以后可以进行表单的权限设置，支持对各节点设置跳转类型，通知类型等。</w:t>
            </w:r>
          </w:p>
        </w:tc>
      </w:tr>
      <w:tr w14:paraId="03DDA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18D363A3">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357777B8">
            <w:pPr>
              <w:rPr>
                <w:szCs w:val="21"/>
              </w:rPr>
            </w:pPr>
            <w:r>
              <w:rPr>
                <w:szCs w:val="21"/>
              </w:rPr>
              <w:t>18</w:t>
            </w:r>
            <w:r>
              <w:rPr>
                <w:rFonts w:hint="eastAsia"/>
                <w:szCs w:val="21"/>
              </w:rPr>
              <w:t>.抄送任务可以单独设计表单内容</w:t>
            </w:r>
          </w:p>
        </w:tc>
      </w:tr>
      <w:tr w14:paraId="04146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46262BFF">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2EB734A4">
            <w:pPr>
              <w:rPr>
                <w:szCs w:val="21"/>
              </w:rPr>
            </w:pPr>
            <w:r>
              <w:rPr>
                <w:rFonts w:hint="eastAsia"/>
                <w:szCs w:val="21"/>
              </w:rPr>
              <w:t>1</w:t>
            </w:r>
            <w:r>
              <w:rPr>
                <w:szCs w:val="21"/>
              </w:rPr>
              <w:t>9.</w:t>
            </w:r>
            <w:r>
              <w:rPr>
                <w:rFonts w:hint="eastAsia"/>
                <w:szCs w:val="21"/>
              </w:rPr>
              <w:t>支持审批流程表单数据输出</w:t>
            </w:r>
            <w:r>
              <w:rPr>
                <w:szCs w:val="21"/>
              </w:rPr>
              <w:t>word</w:t>
            </w:r>
            <w:r>
              <w:rPr>
                <w:rFonts w:hint="eastAsia"/>
                <w:szCs w:val="21"/>
              </w:rPr>
              <w:t>及其他文件格式。</w:t>
            </w:r>
          </w:p>
        </w:tc>
      </w:tr>
      <w:tr w14:paraId="0B10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restart"/>
            <w:noWrap w:val="0"/>
            <w:vAlign w:val="center"/>
          </w:tcPr>
          <w:p w14:paraId="6819F5F8">
            <w:pPr>
              <w:rPr>
                <w:szCs w:val="21"/>
              </w:rPr>
            </w:pPr>
            <w:r>
              <w:rPr>
                <w:szCs w:val="21"/>
              </w:rPr>
              <w:t>3</w:t>
            </w:r>
            <w:r>
              <w:rPr>
                <w:rFonts w:hint="eastAsia"/>
                <w:szCs w:val="21"/>
              </w:rPr>
              <w:t>）接口中心组件</w:t>
            </w:r>
          </w:p>
        </w:tc>
        <w:tc>
          <w:tcPr>
            <w:tcW w:w="8773" w:type="dxa"/>
            <w:tcBorders>
              <w:top w:val="single" w:color="auto" w:sz="4" w:space="0"/>
              <w:left w:val="single" w:color="auto" w:sz="4" w:space="0"/>
              <w:bottom w:val="single" w:color="auto" w:sz="4" w:space="0"/>
              <w:right w:val="single" w:color="auto" w:sz="4" w:space="0"/>
            </w:tcBorders>
            <w:noWrap w:val="0"/>
            <w:vAlign w:val="center"/>
          </w:tcPr>
          <w:p w14:paraId="231B0322">
            <w:pPr>
              <w:rPr>
                <w:szCs w:val="21"/>
              </w:rPr>
            </w:pPr>
            <w:r>
              <w:rPr>
                <w:rFonts w:hint="eastAsia"/>
                <w:szCs w:val="21"/>
              </w:rPr>
              <w:t>1</w:t>
            </w:r>
            <w:r>
              <w:rPr>
                <w:szCs w:val="21"/>
              </w:rPr>
              <w:t>.</w:t>
            </w:r>
            <w:r>
              <w:rPr>
                <w:rFonts w:hint="eastAsia"/>
                <w:szCs w:val="21"/>
              </w:rPr>
              <w:t>平台的各个组件必须公开所有接口，包括流程引擎、表单引擎、消息中心、报表引擎、用户中心，所有接口展现方式基于浏览器。</w:t>
            </w:r>
          </w:p>
        </w:tc>
      </w:tr>
      <w:tr w14:paraId="4D0DE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5BDA639D">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02152522">
            <w:pPr>
              <w:rPr>
                <w:szCs w:val="21"/>
              </w:rPr>
            </w:pPr>
            <w:r>
              <w:rPr>
                <w:rFonts w:hint="eastAsia"/>
                <w:szCs w:val="21"/>
              </w:rPr>
              <w:t>2．接口中心基于</w:t>
            </w:r>
            <w:r>
              <w:rPr>
                <w:szCs w:val="21"/>
              </w:rPr>
              <w:t>Swagger工具，</w:t>
            </w:r>
            <w:r>
              <w:rPr>
                <w:rFonts w:hint="eastAsia"/>
                <w:szCs w:val="21"/>
              </w:rPr>
              <w:t>可以展示</w:t>
            </w:r>
            <w:r>
              <w:rPr>
                <w:szCs w:val="21"/>
              </w:rPr>
              <w:t>各种格式的接口文档，生成多种语言的客户端和服务端的代码，以及在线接口调试页面</w:t>
            </w:r>
            <w:r>
              <w:rPr>
                <w:rFonts w:hint="eastAsia"/>
                <w:szCs w:val="21"/>
              </w:rPr>
              <w:t>。</w:t>
            </w:r>
          </w:p>
        </w:tc>
      </w:tr>
      <w:tr w14:paraId="3488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2D74BE74">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53D674B0">
            <w:pPr>
              <w:rPr>
                <w:szCs w:val="21"/>
              </w:rPr>
            </w:pPr>
            <w:r>
              <w:rPr>
                <w:rFonts w:hint="eastAsia"/>
                <w:szCs w:val="21"/>
              </w:rPr>
              <w:t>3</w:t>
            </w:r>
            <w:r>
              <w:rPr>
                <w:szCs w:val="21"/>
              </w:rPr>
              <w:t>.</w:t>
            </w:r>
            <w:r>
              <w:rPr>
                <w:rFonts w:hint="eastAsia"/>
                <w:szCs w:val="21"/>
              </w:rPr>
              <w:t xml:space="preserve"> 在线接口文档，在线文档需要给出接口的调用实例、返回示例、</w:t>
            </w:r>
            <w:r>
              <w:rPr>
                <w:szCs w:val="21"/>
              </w:rPr>
              <w:t>GET\POST\DELETE</w:t>
            </w:r>
            <w:r>
              <w:rPr>
                <w:rFonts w:hint="eastAsia"/>
                <w:szCs w:val="21"/>
              </w:rPr>
              <w:t>模式。</w:t>
            </w:r>
          </w:p>
        </w:tc>
      </w:tr>
      <w:tr w14:paraId="2316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noWrap w:val="0"/>
            <w:vAlign w:val="center"/>
          </w:tcPr>
          <w:p w14:paraId="3DF653B7">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194C54D8">
            <w:pPr>
              <w:rPr>
                <w:szCs w:val="21"/>
              </w:rPr>
            </w:pPr>
            <w:r>
              <w:rPr>
                <w:rFonts w:hint="eastAsia"/>
                <w:szCs w:val="21"/>
              </w:rPr>
              <w:t>4</w:t>
            </w:r>
            <w:r>
              <w:rPr>
                <w:szCs w:val="21"/>
              </w:rPr>
              <w:t>.</w:t>
            </w:r>
            <w:r>
              <w:rPr>
                <w:rFonts w:hint="eastAsia"/>
                <w:szCs w:val="21"/>
              </w:rPr>
              <w:t>在线文档模式调试接口，在文档的接口上点击调试直接打开调用窗口，并把示例参数带入，点击执行后在页面上展现接口返回数据。</w:t>
            </w:r>
          </w:p>
        </w:tc>
      </w:tr>
      <w:tr w14:paraId="64F5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restart"/>
            <w:tcBorders>
              <w:top w:val="single" w:color="auto" w:sz="4" w:space="0"/>
              <w:left w:val="single" w:color="auto" w:sz="4" w:space="0"/>
              <w:right w:val="single" w:color="auto" w:sz="4" w:space="0"/>
            </w:tcBorders>
            <w:noWrap w:val="0"/>
            <w:vAlign w:val="center"/>
          </w:tcPr>
          <w:p w14:paraId="1A3138BE">
            <w:pPr>
              <w:rPr>
                <w:szCs w:val="21"/>
              </w:rPr>
            </w:pPr>
            <w:r>
              <w:rPr>
                <w:szCs w:val="21"/>
              </w:rPr>
              <w:t>4</w:t>
            </w:r>
            <w:r>
              <w:rPr>
                <w:rFonts w:hint="eastAsia"/>
                <w:szCs w:val="21"/>
              </w:rPr>
              <w:t>）用户中心</w:t>
            </w:r>
          </w:p>
        </w:tc>
        <w:tc>
          <w:tcPr>
            <w:tcW w:w="8773" w:type="dxa"/>
            <w:tcBorders>
              <w:top w:val="single" w:color="auto" w:sz="4" w:space="0"/>
              <w:left w:val="single" w:color="auto" w:sz="4" w:space="0"/>
              <w:bottom w:val="single" w:color="auto" w:sz="4" w:space="0"/>
              <w:right w:val="single" w:color="auto" w:sz="4" w:space="0"/>
            </w:tcBorders>
            <w:noWrap w:val="0"/>
            <w:vAlign w:val="center"/>
          </w:tcPr>
          <w:p w14:paraId="1305EBC7">
            <w:pPr>
              <w:rPr>
                <w:szCs w:val="21"/>
              </w:rPr>
            </w:pPr>
            <w:r>
              <w:rPr>
                <w:rFonts w:hint="eastAsia"/>
                <w:szCs w:val="21"/>
              </w:rPr>
              <w:t>1</w:t>
            </w:r>
            <w:r>
              <w:rPr>
                <w:szCs w:val="21"/>
              </w:rPr>
              <w:t>.</w:t>
            </w:r>
            <w:r>
              <w:rPr>
                <w:rFonts w:hint="eastAsia"/>
                <w:szCs w:val="21"/>
              </w:rPr>
              <w:t>部门管理：可管理校外组织及人员信息，可以在部门信息中维护岗位人员。</w:t>
            </w:r>
          </w:p>
        </w:tc>
      </w:tr>
      <w:tr w14:paraId="2A5A7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tcBorders>
              <w:left w:val="single" w:color="auto" w:sz="4" w:space="0"/>
              <w:right w:val="single" w:color="auto" w:sz="4" w:space="0"/>
            </w:tcBorders>
            <w:noWrap w:val="0"/>
            <w:vAlign w:val="center"/>
          </w:tcPr>
          <w:p w14:paraId="1661771E">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17FC1C5B">
            <w:pPr>
              <w:rPr>
                <w:szCs w:val="21"/>
              </w:rPr>
            </w:pPr>
            <w:r>
              <w:rPr>
                <w:szCs w:val="21"/>
              </w:rPr>
              <w:t>2.</w:t>
            </w:r>
            <w:r>
              <w:rPr>
                <w:rFonts w:hint="eastAsia"/>
                <w:szCs w:val="21"/>
              </w:rPr>
              <w:t>岗位管理：必须支持三级设岗，由信息中心创建岗位并指定职能部门，职能部门可以下发给业务部门及管理范围，业务部门管理岗位对应的人员及管理范围。</w:t>
            </w:r>
          </w:p>
        </w:tc>
      </w:tr>
      <w:tr w14:paraId="4857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tcBorders>
              <w:left w:val="single" w:color="auto" w:sz="4" w:space="0"/>
              <w:right w:val="single" w:color="auto" w:sz="4" w:space="0"/>
            </w:tcBorders>
            <w:noWrap w:val="0"/>
            <w:vAlign w:val="center"/>
          </w:tcPr>
          <w:p w14:paraId="6F662438">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7883237D">
            <w:pPr>
              <w:rPr>
                <w:szCs w:val="21"/>
              </w:rPr>
            </w:pPr>
            <w:r>
              <w:rPr>
                <w:rFonts w:hint="eastAsia"/>
                <w:szCs w:val="21"/>
              </w:rPr>
              <w:t>3</w:t>
            </w:r>
            <w:r>
              <w:rPr>
                <w:szCs w:val="21"/>
              </w:rPr>
              <w:t>.</w:t>
            </w:r>
            <w:r>
              <w:rPr>
                <w:rFonts w:hint="eastAsia"/>
                <w:szCs w:val="21"/>
              </w:rPr>
              <w:t>角色管理：管理角色及成员，支持</w:t>
            </w:r>
            <w:r>
              <w:rPr>
                <w:rFonts w:hint="eastAsia"/>
                <w:szCs w:val="21"/>
                <w:lang w:val="en-US" w:eastAsia="zh-CN"/>
              </w:rPr>
              <w:t>数据库</w:t>
            </w:r>
            <w:r>
              <w:rPr>
                <w:rFonts w:hint="eastAsia"/>
                <w:szCs w:val="21"/>
              </w:rPr>
              <w:t>动态角色，配置</w:t>
            </w:r>
            <w:r>
              <w:rPr>
                <w:rFonts w:hint="eastAsia"/>
                <w:szCs w:val="21"/>
                <w:lang w:val="en-US" w:eastAsia="zh-CN"/>
              </w:rPr>
              <w:t>数据库</w:t>
            </w:r>
            <w:r>
              <w:rPr>
                <w:rFonts w:hint="eastAsia"/>
                <w:szCs w:val="21"/>
              </w:rPr>
              <w:t>语句从第三方数据库中抓取角色成员，且能够配置定期同步和设置每个角色成员的管理范围。</w:t>
            </w:r>
          </w:p>
        </w:tc>
      </w:tr>
      <w:tr w14:paraId="49733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tcBorders>
              <w:left w:val="single" w:color="auto" w:sz="4" w:space="0"/>
              <w:right w:val="single" w:color="auto" w:sz="4" w:space="0"/>
            </w:tcBorders>
            <w:noWrap w:val="0"/>
            <w:vAlign w:val="center"/>
          </w:tcPr>
          <w:p w14:paraId="2BC70ADF">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3968DFB5">
            <w:pPr>
              <w:rPr>
                <w:szCs w:val="21"/>
              </w:rPr>
            </w:pPr>
            <w:r>
              <w:rPr>
                <w:rFonts w:hint="eastAsia"/>
                <w:szCs w:val="21"/>
              </w:rPr>
              <w:t>4</w:t>
            </w:r>
            <w:r>
              <w:rPr>
                <w:szCs w:val="21"/>
              </w:rPr>
              <w:t>.</w:t>
            </w:r>
            <w:r>
              <w:rPr>
                <w:rFonts w:hint="eastAsia"/>
                <w:szCs w:val="21"/>
              </w:rPr>
              <w:t>用户管理：管理用户基本信息，自定义扩展属性，并支持excel批量导入。</w:t>
            </w:r>
          </w:p>
        </w:tc>
      </w:tr>
      <w:tr w14:paraId="6949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tcBorders>
              <w:left w:val="single" w:color="auto" w:sz="4" w:space="0"/>
              <w:right w:val="single" w:color="auto" w:sz="4" w:space="0"/>
            </w:tcBorders>
            <w:noWrap w:val="0"/>
            <w:vAlign w:val="center"/>
          </w:tcPr>
          <w:p w14:paraId="03F902E7">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15D0F689">
            <w:pPr>
              <w:rPr>
                <w:szCs w:val="21"/>
              </w:rPr>
            </w:pPr>
            <w:r>
              <w:rPr>
                <w:rFonts w:hint="eastAsia"/>
                <w:szCs w:val="21"/>
              </w:rPr>
              <w:t>5</w:t>
            </w:r>
            <w:r>
              <w:rPr>
                <w:szCs w:val="21"/>
              </w:rPr>
              <w:t>.</w:t>
            </w:r>
            <w:r>
              <w:rPr>
                <w:rFonts w:hint="eastAsia"/>
                <w:szCs w:val="21"/>
              </w:rPr>
              <w:t>系统要求可对组织架构设置管理权限，允许在第三方系统中由专人管理指定组织或部门下的部门、岗位、用户。</w:t>
            </w:r>
          </w:p>
        </w:tc>
      </w:tr>
      <w:tr w14:paraId="2BB8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tcBorders>
              <w:left w:val="single" w:color="auto" w:sz="4" w:space="0"/>
              <w:right w:val="single" w:color="auto" w:sz="4" w:space="0"/>
            </w:tcBorders>
            <w:noWrap w:val="0"/>
            <w:vAlign w:val="center"/>
          </w:tcPr>
          <w:p w14:paraId="60A91543">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60C1251A">
            <w:pPr>
              <w:rPr>
                <w:szCs w:val="21"/>
              </w:rPr>
            </w:pPr>
            <w:r>
              <w:rPr>
                <w:rFonts w:hint="eastAsia"/>
                <w:szCs w:val="21"/>
              </w:rPr>
              <w:t>6</w:t>
            </w:r>
            <w:r>
              <w:rPr>
                <w:szCs w:val="21"/>
              </w:rPr>
              <w:t>.</w:t>
            </w:r>
            <w:r>
              <w:rPr>
                <w:rFonts w:hint="eastAsia"/>
                <w:szCs w:val="21"/>
              </w:rPr>
              <w:t>用户中心与流程引擎整合，在流程设计时可直接选择固定岗位、相对岗位、角色、部门、用户等；流程运行时步骤处理人为相对岗位的系统能自动识别申请人所在部门并找到该岗位对应管理范围的用户。</w:t>
            </w:r>
          </w:p>
        </w:tc>
      </w:tr>
      <w:tr w14:paraId="4EAC0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tcBorders>
              <w:left w:val="single" w:color="auto" w:sz="4" w:space="0"/>
              <w:right w:val="single" w:color="auto" w:sz="4" w:space="0"/>
            </w:tcBorders>
            <w:noWrap w:val="0"/>
            <w:vAlign w:val="center"/>
          </w:tcPr>
          <w:p w14:paraId="4F32B5F8">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77A183C6">
            <w:pPr>
              <w:rPr>
                <w:szCs w:val="21"/>
              </w:rPr>
            </w:pPr>
            <w:r>
              <w:rPr>
                <w:rFonts w:hint="eastAsia"/>
                <w:szCs w:val="21"/>
              </w:rPr>
              <w:t>7</w:t>
            </w:r>
            <w:r>
              <w:rPr>
                <w:szCs w:val="21"/>
              </w:rPr>
              <w:t>.</w:t>
            </w:r>
            <w:r>
              <w:rPr>
                <w:rFonts w:hint="eastAsia"/>
                <w:szCs w:val="21"/>
              </w:rPr>
              <w:t>提供标准化接口允许第三方获取岗位列表及指定岗位的人员数据，以减少在第三方系统中在管理岗位数据。</w:t>
            </w:r>
          </w:p>
        </w:tc>
      </w:tr>
      <w:tr w14:paraId="48ECB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tcBorders>
              <w:left w:val="single" w:color="auto" w:sz="4" w:space="0"/>
              <w:right w:val="single" w:color="auto" w:sz="4" w:space="0"/>
            </w:tcBorders>
            <w:noWrap w:val="0"/>
            <w:vAlign w:val="center"/>
          </w:tcPr>
          <w:p w14:paraId="51CB5204">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11E755C2">
            <w:pPr>
              <w:rPr>
                <w:szCs w:val="21"/>
              </w:rPr>
            </w:pPr>
            <w:r>
              <w:rPr>
                <w:rFonts w:hint="eastAsia"/>
                <w:szCs w:val="21"/>
              </w:rPr>
              <w:t>8.组织架构基础数据同步事件订阅：</w:t>
            </w:r>
          </w:p>
          <w:p w14:paraId="7E33A3CD">
            <w:pPr>
              <w:rPr>
                <w:szCs w:val="21"/>
              </w:rPr>
            </w:pPr>
            <w:r>
              <w:rPr>
                <w:rFonts w:hint="eastAsia"/>
                <w:szCs w:val="21"/>
              </w:rPr>
              <w:t>人事系统的事件订阅，根据事件即时更新组织架构数据；包含但不限于部门新增、变更事件，教职工注册、新增、退休、退出、变更所属机构事件，学生新增、状态变更、班级变更事件</w:t>
            </w:r>
          </w:p>
        </w:tc>
      </w:tr>
      <w:tr w14:paraId="6236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tcBorders>
              <w:left w:val="single" w:color="auto" w:sz="4" w:space="0"/>
              <w:bottom w:val="single" w:color="auto" w:sz="4" w:space="0"/>
              <w:right w:val="single" w:color="auto" w:sz="4" w:space="0"/>
            </w:tcBorders>
            <w:noWrap w:val="0"/>
            <w:vAlign w:val="center"/>
          </w:tcPr>
          <w:p w14:paraId="5A8DCFCD">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39FDACF8">
            <w:pPr>
              <w:rPr>
                <w:szCs w:val="21"/>
              </w:rPr>
            </w:pPr>
            <w:r>
              <w:rPr>
                <w:szCs w:val="21"/>
              </w:rPr>
              <w:t>9.</w:t>
            </w:r>
            <w:r>
              <w:rPr>
                <w:rFonts w:hint="eastAsia"/>
                <w:szCs w:val="21"/>
              </w:rPr>
              <w:t>系统权限如菜单、应用使用权限等可支持到部门、岗位、相对岗位、人员、角色。</w:t>
            </w:r>
          </w:p>
        </w:tc>
      </w:tr>
      <w:tr w14:paraId="3E543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restart"/>
            <w:tcBorders>
              <w:top w:val="single" w:color="auto" w:sz="4" w:space="0"/>
              <w:left w:val="single" w:color="auto" w:sz="4" w:space="0"/>
              <w:right w:val="single" w:color="auto" w:sz="4" w:space="0"/>
            </w:tcBorders>
            <w:noWrap w:val="0"/>
            <w:vAlign w:val="center"/>
          </w:tcPr>
          <w:p w14:paraId="0B0C9CB3">
            <w:pPr>
              <w:rPr>
                <w:szCs w:val="21"/>
              </w:rPr>
            </w:pPr>
          </w:p>
          <w:p w14:paraId="0A973D33">
            <w:pPr>
              <w:rPr>
                <w:szCs w:val="21"/>
              </w:rPr>
            </w:pPr>
            <w:r>
              <w:rPr>
                <w:szCs w:val="21"/>
              </w:rPr>
              <w:t>5</w:t>
            </w:r>
            <w:r>
              <w:rPr>
                <w:rFonts w:hint="eastAsia"/>
                <w:szCs w:val="21"/>
              </w:rPr>
              <w:t>）办事大厅网站</w:t>
            </w:r>
          </w:p>
        </w:tc>
        <w:tc>
          <w:tcPr>
            <w:tcW w:w="8773" w:type="dxa"/>
            <w:tcBorders>
              <w:top w:val="single" w:color="auto" w:sz="4" w:space="0"/>
              <w:left w:val="single" w:color="auto" w:sz="4" w:space="0"/>
              <w:bottom w:val="single" w:color="auto" w:sz="4" w:space="0"/>
              <w:right w:val="single" w:color="auto" w:sz="4" w:space="0"/>
            </w:tcBorders>
            <w:noWrap w:val="0"/>
            <w:vAlign w:val="center"/>
          </w:tcPr>
          <w:p w14:paraId="7DA3E6D7">
            <w:pPr>
              <w:rPr>
                <w:szCs w:val="21"/>
              </w:rPr>
            </w:pPr>
            <w:r>
              <w:rPr>
                <w:rFonts w:hint="eastAsia"/>
                <w:szCs w:val="21"/>
              </w:rPr>
              <w:t>1.与学校门户</w:t>
            </w:r>
            <w:r>
              <w:rPr>
                <w:rFonts w:hint="eastAsia"/>
                <w:szCs w:val="21"/>
                <w:lang w:val="en-US" w:eastAsia="zh-CN"/>
              </w:rPr>
              <w:t>平台</w:t>
            </w:r>
            <w:r>
              <w:rPr>
                <w:rFonts w:hint="eastAsia"/>
                <w:szCs w:val="21"/>
              </w:rPr>
              <w:t>集成，无缝对接学校门户平台。</w:t>
            </w:r>
          </w:p>
        </w:tc>
      </w:tr>
      <w:tr w14:paraId="00EB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tcBorders>
              <w:left w:val="single" w:color="auto" w:sz="4" w:space="0"/>
              <w:right w:val="single" w:color="auto" w:sz="4" w:space="0"/>
            </w:tcBorders>
            <w:noWrap w:val="0"/>
            <w:vAlign w:val="center"/>
          </w:tcPr>
          <w:p w14:paraId="66630D1E">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412676D6">
            <w:pPr>
              <w:rPr>
                <w:szCs w:val="21"/>
              </w:rPr>
            </w:pPr>
            <w:r>
              <w:rPr>
                <w:rFonts w:hint="eastAsia"/>
                <w:szCs w:val="21"/>
              </w:rPr>
              <w:t>2</w:t>
            </w:r>
            <w:r>
              <w:rPr>
                <w:szCs w:val="21"/>
              </w:rPr>
              <w:t>.</w:t>
            </w:r>
            <w:r>
              <w:rPr>
                <w:rFonts w:hint="eastAsia"/>
                <w:szCs w:val="21"/>
              </w:rPr>
              <w:t>提供学校用户登录前访问办事大厅的首页，其中包括教师、学生办理事项快速入口、二级单位业务系统快速入口、热门（推荐）服务。采用扁平化设计风格，界面更美观、交互更方便、终端适应性更强。</w:t>
            </w:r>
          </w:p>
        </w:tc>
      </w:tr>
      <w:tr w14:paraId="0ACB0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tcBorders>
              <w:left w:val="single" w:color="auto" w:sz="4" w:space="0"/>
              <w:right w:val="single" w:color="auto" w:sz="4" w:space="0"/>
            </w:tcBorders>
            <w:noWrap w:val="0"/>
            <w:vAlign w:val="center"/>
          </w:tcPr>
          <w:p w14:paraId="7652FD42">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4082FCC9">
            <w:pPr>
              <w:rPr>
                <w:szCs w:val="21"/>
              </w:rPr>
            </w:pPr>
            <w:r>
              <w:rPr>
                <w:rFonts w:hint="eastAsia"/>
                <w:szCs w:val="21"/>
              </w:rPr>
              <w:t>3</w:t>
            </w:r>
            <w:r>
              <w:rPr>
                <w:szCs w:val="21"/>
              </w:rPr>
              <w:t>.</w:t>
            </w:r>
            <w:r>
              <w:rPr>
                <w:rFonts w:hint="eastAsia"/>
                <w:szCs w:val="21"/>
              </w:rPr>
              <w:t>系统按服务类别、服务方式、服务部门、服务的展现形式对服务进行多维度事务分类，用户可根据分类快速检索符合条件的事务，查看事务的详细信息。同时提供模糊搜索功能，用户可输入应用名称关键字进行检索。通过一系列的检索、定位引导，为用户提供更精准、更便捷的服务获取路径。</w:t>
            </w:r>
          </w:p>
        </w:tc>
      </w:tr>
      <w:tr w14:paraId="5D88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tcBorders>
              <w:left w:val="single" w:color="auto" w:sz="4" w:space="0"/>
              <w:right w:val="single" w:color="auto" w:sz="4" w:space="0"/>
            </w:tcBorders>
            <w:noWrap w:val="0"/>
            <w:vAlign w:val="center"/>
          </w:tcPr>
          <w:p w14:paraId="3DB0D761">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021382B7">
            <w:pPr>
              <w:rPr>
                <w:szCs w:val="21"/>
              </w:rPr>
            </w:pPr>
            <w:r>
              <w:rPr>
                <w:rFonts w:hint="eastAsia"/>
                <w:szCs w:val="21"/>
              </w:rPr>
              <w:t>4. 办事指南页展示服务事项的具体信息，包括基本信息、办事流程、材料下载、在线评价等，在线评价需登录后才能评价。办事指南页包括网上预约、网上办理、我要收藏、查看评价功能，这些功能需要用户登录后才能使用。</w:t>
            </w:r>
          </w:p>
        </w:tc>
      </w:tr>
      <w:tr w14:paraId="4FC6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tcBorders>
              <w:left w:val="single" w:color="auto" w:sz="4" w:space="0"/>
              <w:right w:val="single" w:color="auto" w:sz="4" w:space="0"/>
            </w:tcBorders>
            <w:noWrap w:val="0"/>
            <w:vAlign w:val="center"/>
          </w:tcPr>
          <w:p w14:paraId="5DBFD995">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144E14AA">
            <w:pPr>
              <w:rPr>
                <w:szCs w:val="21"/>
              </w:rPr>
            </w:pPr>
            <w:r>
              <w:rPr>
                <w:rFonts w:hint="eastAsia"/>
                <w:szCs w:val="21"/>
              </w:rPr>
              <w:t>5.服务以卡片的方式进行呈现，每个服务卡片显示服务名称、服务图标、服务办理次数、服务分类信息，每个服务流程独立的服务详情介绍页面，页面具备图文混编与相关文件下载功能，包含服务介绍、服务办事指南、政策文件、办事流程图、服务评分评价展示等内容，提供在线办理服务、收藏服务等功能。</w:t>
            </w:r>
          </w:p>
        </w:tc>
      </w:tr>
      <w:tr w14:paraId="766A9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tcBorders>
              <w:left w:val="single" w:color="auto" w:sz="4" w:space="0"/>
              <w:right w:val="single" w:color="auto" w:sz="4" w:space="0"/>
            </w:tcBorders>
            <w:noWrap w:val="0"/>
            <w:vAlign w:val="center"/>
          </w:tcPr>
          <w:p w14:paraId="07ABD27F">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2D6C7809">
            <w:pPr>
              <w:rPr>
                <w:szCs w:val="21"/>
              </w:rPr>
            </w:pPr>
            <w:r>
              <w:rPr>
                <w:rFonts w:hint="eastAsia"/>
                <w:szCs w:val="21"/>
              </w:rPr>
              <w:t>6．可自定义办事大厅网站首页的热门应用。</w:t>
            </w:r>
          </w:p>
        </w:tc>
      </w:tr>
      <w:tr w14:paraId="5DCEE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tcBorders>
              <w:left w:val="single" w:color="auto" w:sz="4" w:space="0"/>
              <w:right w:val="single" w:color="auto" w:sz="4" w:space="0"/>
            </w:tcBorders>
            <w:noWrap w:val="0"/>
            <w:vAlign w:val="center"/>
          </w:tcPr>
          <w:p w14:paraId="5CA11E9F">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259A518D">
            <w:pPr>
              <w:rPr>
                <w:szCs w:val="21"/>
              </w:rPr>
            </w:pPr>
            <w:r>
              <w:rPr>
                <w:rFonts w:hint="eastAsia"/>
                <w:szCs w:val="21"/>
              </w:rPr>
              <w:t>7.服务单服务评价，办事师生可以基于具体服务单对受理人员与服务流程进行评价打分，可通过意见反馈方式提出服务优化建议，促进流程优化与服务质量提升。</w:t>
            </w:r>
          </w:p>
        </w:tc>
      </w:tr>
      <w:tr w14:paraId="5296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tcBorders>
              <w:left w:val="single" w:color="auto" w:sz="4" w:space="0"/>
              <w:right w:val="single" w:color="auto" w:sz="4" w:space="0"/>
            </w:tcBorders>
            <w:noWrap w:val="0"/>
            <w:vAlign w:val="center"/>
          </w:tcPr>
          <w:p w14:paraId="3EFC391C">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4F706B8D">
            <w:pPr>
              <w:rPr>
                <w:szCs w:val="21"/>
              </w:rPr>
            </w:pPr>
            <w:r>
              <w:rPr>
                <w:rFonts w:hint="eastAsia"/>
                <w:szCs w:val="21"/>
              </w:rPr>
              <w:t>8.以图形报表、数据清单的形式统计</w:t>
            </w:r>
            <w:r>
              <w:rPr>
                <w:rFonts w:hint="eastAsia"/>
                <w:szCs w:val="21"/>
                <w:lang w:val="en-US" w:eastAsia="zh-CN"/>
              </w:rPr>
              <w:t>一站式网上办事大厅</w:t>
            </w:r>
            <w:r>
              <w:rPr>
                <w:rFonts w:hint="eastAsia"/>
                <w:szCs w:val="21"/>
              </w:rPr>
              <w:t>的访问情况、各个应用的使用情况、</w:t>
            </w:r>
            <w:r>
              <w:rPr>
                <w:rFonts w:hint="eastAsia"/>
                <w:szCs w:val="21"/>
                <w:lang w:val="en-US" w:eastAsia="zh-CN"/>
              </w:rPr>
              <w:t>钉钉</w:t>
            </w:r>
            <w:r>
              <w:rPr>
                <w:rFonts w:hint="eastAsia"/>
                <w:szCs w:val="21"/>
              </w:rPr>
              <w:t>端</w:t>
            </w:r>
            <w:r>
              <w:rPr>
                <w:rFonts w:hint="eastAsia"/>
                <w:szCs w:val="21"/>
                <w:lang w:val="en-US" w:eastAsia="zh-CN"/>
              </w:rPr>
              <w:t>一站式网上办事大厅</w:t>
            </w:r>
            <w:r>
              <w:rPr>
                <w:rFonts w:hint="eastAsia"/>
                <w:szCs w:val="21"/>
              </w:rPr>
              <w:t>用户情况等信息。</w:t>
            </w:r>
          </w:p>
        </w:tc>
      </w:tr>
      <w:tr w14:paraId="1E9F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61" w:type="dxa"/>
            <w:vMerge w:val="continue"/>
            <w:tcBorders>
              <w:left w:val="single" w:color="auto" w:sz="4" w:space="0"/>
              <w:right w:val="single" w:color="auto" w:sz="4" w:space="0"/>
            </w:tcBorders>
            <w:noWrap w:val="0"/>
            <w:vAlign w:val="center"/>
          </w:tcPr>
          <w:p w14:paraId="1CA98E93">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0815158B">
            <w:pPr>
              <w:rPr>
                <w:szCs w:val="21"/>
              </w:rPr>
            </w:pPr>
            <w:r>
              <w:rPr>
                <w:szCs w:val="21"/>
              </w:rPr>
              <w:t>9</w:t>
            </w:r>
            <w:r>
              <w:rPr>
                <w:rFonts w:hint="eastAsia"/>
                <w:szCs w:val="21"/>
              </w:rPr>
              <w:t>.我的待办：根据流程的需要把当前需要用户办理／填写／审批的工作节点，以待办任务的方式列出，并用醒目标识提醒用户待办任务及数量。用户（包括员工及各种管理岗位、审批领导）不必了解当前任务来自后台哪个模块，只需要以统一的方式完成该任务展现出来的具体内容即可。</w:t>
            </w:r>
          </w:p>
        </w:tc>
      </w:tr>
      <w:tr w14:paraId="3C0CC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tcBorders>
              <w:left w:val="single" w:color="auto" w:sz="4" w:space="0"/>
              <w:right w:val="single" w:color="auto" w:sz="4" w:space="0"/>
            </w:tcBorders>
            <w:noWrap w:val="0"/>
            <w:vAlign w:val="center"/>
          </w:tcPr>
          <w:p w14:paraId="5C30DEED">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2B8B5DB5">
            <w:pPr>
              <w:rPr>
                <w:szCs w:val="21"/>
              </w:rPr>
            </w:pPr>
            <w:r>
              <w:rPr>
                <w:szCs w:val="21"/>
              </w:rPr>
              <w:t>10</w:t>
            </w:r>
            <w:r>
              <w:rPr>
                <w:rFonts w:hint="eastAsia"/>
                <w:szCs w:val="21"/>
              </w:rPr>
              <w:t>.我的申请：流程的办理者在这个模块中跟踪自己发起、参与的流程的进展情况。</w:t>
            </w:r>
          </w:p>
        </w:tc>
      </w:tr>
      <w:tr w14:paraId="1197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tcBorders>
              <w:left w:val="single" w:color="auto" w:sz="4" w:space="0"/>
              <w:right w:val="single" w:color="auto" w:sz="4" w:space="0"/>
            </w:tcBorders>
            <w:noWrap w:val="0"/>
            <w:vAlign w:val="center"/>
          </w:tcPr>
          <w:p w14:paraId="479FC859">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56F8B396">
            <w:pPr>
              <w:rPr>
                <w:szCs w:val="21"/>
              </w:rPr>
            </w:pPr>
            <w:r>
              <w:rPr>
                <w:szCs w:val="21"/>
              </w:rPr>
              <w:t>11</w:t>
            </w:r>
            <w:r>
              <w:rPr>
                <w:rFonts w:hint="eastAsia"/>
                <w:szCs w:val="21"/>
              </w:rPr>
              <w:t>.我的已办：用户可以找到所有自己曾经办理过的流程（包括已撤销流程、已回退流程、已终止流程、已办流程）及其具体内容。</w:t>
            </w:r>
          </w:p>
        </w:tc>
      </w:tr>
      <w:tr w14:paraId="6B58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tcBorders>
              <w:left w:val="single" w:color="auto" w:sz="4" w:space="0"/>
              <w:right w:val="single" w:color="auto" w:sz="4" w:space="0"/>
            </w:tcBorders>
            <w:noWrap w:val="0"/>
            <w:vAlign w:val="center"/>
          </w:tcPr>
          <w:p w14:paraId="00987EC3">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3673565C">
            <w:pPr>
              <w:rPr>
                <w:szCs w:val="21"/>
              </w:rPr>
            </w:pPr>
            <w:r>
              <w:rPr>
                <w:rFonts w:hint="eastAsia"/>
                <w:szCs w:val="21"/>
              </w:rPr>
              <w:t>1</w:t>
            </w:r>
            <w:r>
              <w:rPr>
                <w:szCs w:val="21"/>
              </w:rPr>
              <w:t>2.</w:t>
            </w:r>
            <w:r>
              <w:rPr>
                <w:rFonts w:hint="eastAsia"/>
                <w:szCs w:val="21"/>
              </w:rPr>
              <w:t>系统能够支持服务事项的统计报表，图形化呈现方式至少包括饼状图、柱状图、条形图、曲线图。</w:t>
            </w:r>
          </w:p>
        </w:tc>
      </w:tr>
      <w:tr w14:paraId="04DA1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1" w:type="dxa"/>
            <w:vMerge w:val="continue"/>
            <w:tcBorders>
              <w:left w:val="single" w:color="auto" w:sz="4" w:space="0"/>
              <w:right w:val="single" w:color="auto" w:sz="4" w:space="0"/>
            </w:tcBorders>
            <w:noWrap w:val="0"/>
            <w:vAlign w:val="center"/>
          </w:tcPr>
          <w:p w14:paraId="2B8E1430">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7CED4894">
            <w:pPr>
              <w:rPr>
                <w:szCs w:val="21"/>
              </w:rPr>
            </w:pPr>
            <w:r>
              <w:rPr>
                <w:szCs w:val="21"/>
              </w:rPr>
              <w:t>13</w:t>
            </w:r>
            <w:r>
              <w:rPr>
                <w:rFonts w:hint="eastAsia"/>
                <w:szCs w:val="21"/>
              </w:rPr>
              <w:t>.校务服务统计报表功能，提供多种统计报表</w:t>
            </w:r>
            <w:r>
              <w:rPr>
                <w:rFonts w:hint="eastAsia"/>
                <w:szCs w:val="21"/>
                <w:lang w:eastAsia="zh-CN"/>
              </w:rPr>
              <w:t>模板</w:t>
            </w:r>
            <w:r>
              <w:rPr>
                <w:rFonts w:hint="eastAsia"/>
                <w:szCs w:val="21"/>
              </w:rPr>
              <w:t>，支持定时生成日报、周报、季报、年报。</w:t>
            </w:r>
          </w:p>
        </w:tc>
      </w:tr>
      <w:tr w14:paraId="0805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tcBorders>
              <w:left w:val="single" w:color="auto" w:sz="4" w:space="0"/>
              <w:right w:val="single" w:color="auto" w:sz="4" w:space="0"/>
            </w:tcBorders>
            <w:noWrap w:val="0"/>
            <w:vAlign w:val="center"/>
          </w:tcPr>
          <w:p w14:paraId="36F7F90F">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15C5EA30">
            <w:pPr>
              <w:rPr>
                <w:szCs w:val="21"/>
              </w:rPr>
            </w:pPr>
            <w:r>
              <w:rPr>
                <w:szCs w:val="21"/>
              </w:rPr>
              <w:t>14</w:t>
            </w:r>
            <w:r>
              <w:rPr>
                <w:rFonts w:hint="eastAsia"/>
                <w:szCs w:val="21"/>
              </w:rPr>
              <w:t>.支持服务事项按累积收件、累积办件、预审件分类统计。</w:t>
            </w:r>
          </w:p>
        </w:tc>
      </w:tr>
      <w:tr w14:paraId="64DF0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tcBorders>
              <w:left w:val="single" w:color="auto" w:sz="4" w:space="0"/>
              <w:right w:val="single" w:color="auto" w:sz="4" w:space="0"/>
            </w:tcBorders>
            <w:noWrap w:val="0"/>
            <w:vAlign w:val="center"/>
          </w:tcPr>
          <w:p w14:paraId="779239DC">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2F045034">
            <w:pPr>
              <w:rPr>
                <w:szCs w:val="21"/>
              </w:rPr>
            </w:pPr>
            <w:r>
              <w:rPr>
                <w:szCs w:val="21"/>
              </w:rPr>
              <w:t>15</w:t>
            </w:r>
            <w:r>
              <w:rPr>
                <w:rFonts w:hint="eastAsia"/>
                <w:szCs w:val="21"/>
              </w:rPr>
              <w:t>.实现服务事项以流程节点为统计点进行</w:t>
            </w:r>
            <w:r>
              <w:rPr>
                <w:rFonts w:hint="eastAsia"/>
                <w:szCs w:val="21"/>
                <w:lang w:eastAsia="zh-CN"/>
              </w:rPr>
              <w:t>时效</w:t>
            </w:r>
            <w:r>
              <w:rPr>
                <w:rFonts w:hint="eastAsia"/>
                <w:szCs w:val="21"/>
              </w:rPr>
              <w:t>统计，计量统计，操作分类统计等多维统计功能。</w:t>
            </w:r>
          </w:p>
        </w:tc>
      </w:tr>
      <w:tr w14:paraId="3542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tcBorders>
              <w:left w:val="single" w:color="auto" w:sz="4" w:space="0"/>
              <w:right w:val="single" w:color="auto" w:sz="4" w:space="0"/>
            </w:tcBorders>
            <w:noWrap w:val="0"/>
            <w:vAlign w:val="center"/>
          </w:tcPr>
          <w:p w14:paraId="5CEB27AC">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44582370">
            <w:pPr>
              <w:rPr>
                <w:szCs w:val="21"/>
              </w:rPr>
            </w:pPr>
            <w:r>
              <w:rPr>
                <w:rFonts w:hint="eastAsia"/>
                <w:szCs w:val="21"/>
              </w:rPr>
              <w:t>1</w:t>
            </w:r>
            <w:r>
              <w:rPr>
                <w:szCs w:val="21"/>
              </w:rPr>
              <w:t>6</w:t>
            </w:r>
            <w:r>
              <w:rPr>
                <w:rFonts w:hint="eastAsia"/>
                <w:szCs w:val="21"/>
              </w:rPr>
              <w:t>.应用管理：</w:t>
            </w:r>
            <w:r>
              <w:rPr>
                <w:rFonts w:hint="eastAsia"/>
                <w:szCs w:val="21"/>
                <w:lang w:val="en-US" w:eastAsia="zh-CN"/>
              </w:rPr>
              <w:t>一站式网上办事大厅</w:t>
            </w:r>
            <w:r>
              <w:rPr>
                <w:rFonts w:hint="eastAsia"/>
                <w:szCs w:val="21"/>
              </w:rPr>
              <w:t>注册应用，注册时可以设置应用的图标、名称、分类、是移动端应用还是</w:t>
            </w:r>
            <w:r>
              <w:rPr>
                <w:rFonts w:hint="eastAsia"/>
                <w:szCs w:val="21"/>
                <w:lang w:val="en-US" w:eastAsia="zh-CN"/>
              </w:rPr>
              <w:t>PC</w:t>
            </w:r>
            <w:r>
              <w:rPr>
                <w:rFonts w:hint="eastAsia"/>
                <w:szCs w:val="21"/>
              </w:rPr>
              <w:t>端、责任部门、服务对象、办事指南、是否默认加入收藏等信息。</w:t>
            </w:r>
          </w:p>
        </w:tc>
      </w:tr>
      <w:tr w14:paraId="5A739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tcBorders>
              <w:left w:val="single" w:color="auto" w:sz="4" w:space="0"/>
              <w:right w:val="single" w:color="auto" w:sz="4" w:space="0"/>
            </w:tcBorders>
            <w:noWrap w:val="0"/>
            <w:vAlign w:val="center"/>
          </w:tcPr>
          <w:p w14:paraId="040A5FE3">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6826B3BB">
            <w:pPr>
              <w:rPr>
                <w:szCs w:val="21"/>
              </w:rPr>
            </w:pPr>
            <w:r>
              <w:rPr>
                <w:szCs w:val="21"/>
              </w:rPr>
              <w:t>17</w:t>
            </w:r>
            <w:r>
              <w:rPr>
                <w:rFonts w:hint="eastAsia"/>
                <w:szCs w:val="21"/>
              </w:rPr>
              <w:t>. 支持服务事项一键上/下架，在后台上架一个服务，在</w:t>
            </w:r>
            <w:r>
              <w:rPr>
                <w:rFonts w:hint="eastAsia"/>
                <w:szCs w:val="21"/>
                <w:lang w:val="en-US" w:eastAsia="zh-CN"/>
              </w:rPr>
              <w:t>电脑端一站式办事大厅和</w:t>
            </w:r>
            <w:r>
              <w:rPr>
                <w:rFonts w:hint="eastAsia"/>
                <w:szCs w:val="21"/>
              </w:rPr>
              <w:t>手机端钉钉同时展示，上架时可控制该应用所发布的平台（钉钉、企业微信）、所在分类、该应用可见范围配置。支持一键下架应用，在手机端钉钉能同时下架某个应用。</w:t>
            </w:r>
          </w:p>
        </w:tc>
      </w:tr>
      <w:tr w14:paraId="683C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tcBorders>
              <w:left w:val="single" w:color="auto" w:sz="4" w:space="0"/>
              <w:right w:val="single" w:color="auto" w:sz="4" w:space="0"/>
            </w:tcBorders>
            <w:noWrap w:val="0"/>
            <w:vAlign w:val="center"/>
          </w:tcPr>
          <w:p w14:paraId="709FA27E">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7373CE8A">
            <w:pPr>
              <w:rPr>
                <w:szCs w:val="21"/>
              </w:rPr>
            </w:pPr>
            <w:r>
              <w:rPr>
                <w:rFonts w:hint="eastAsia" w:ascii="宋体" w:hAnsi="宋体" w:cs="宋体"/>
                <w:b w:val="0"/>
                <w:bCs w:val="0"/>
                <w:szCs w:val="21"/>
                <w:highlight w:val="none"/>
              </w:rPr>
              <w:t>★</w:t>
            </w:r>
            <w:r>
              <w:rPr>
                <w:szCs w:val="21"/>
              </w:rPr>
              <w:t>18</w:t>
            </w:r>
            <w:r>
              <w:rPr>
                <w:rFonts w:hint="eastAsia"/>
                <w:szCs w:val="21"/>
              </w:rPr>
              <w:t>.权限管理要求对</w:t>
            </w:r>
            <w:r>
              <w:rPr>
                <w:rFonts w:hint="eastAsia"/>
                <w:szCs w:val="21"/>
                <w:lang w:val="en-US" w:eastAsia="zh-CN"/>
              </w:rPr>
              <w:t>一站式网上办事大厅</w:t>
            </w:r>
            <w:r>
              <w:rPr>
                <w:rFonts w:hint="eastAsia"/>
                <w:szCs w:val="21"/>
              </w:rPr>
              <w:t>平台与流程平台中用户、角色、岗位、部门进行管理，包含对用户配置岗位、岗位管理、岗位下用户管理、查看岗位下流程等功能。系统主要针对工作流中的配置的岗位的人员进行管理。可以给某个部门某个岗位添加管理员，管理员进可以给该岗位添加相应的人员，添加后的人员方能使用</w:t>
            </w:r>
            <w:r>
              <w:rPr>
                <w:rFonts w:hint="eastAsia"/>
                <w:szCs w:val="21"/>
                <w:lang w:val="en-US" w:eastAsia="zh-CN"/>
              </w:rPr>
              <w:t>一站式网上办事大厅</w:t>
            </w:r>
            <w:r>
              <w:rPr>
                <w:rFonts w:hint="eastAsia"/>
                <w:szCs w:val="21"/>
              </w:rPr>
              <w:t>平台来处理自己有权限的任务。</w:t>
            </w:r>
          </w:p>
        </w:tc>
      </w:tr>
      <w:tr w14:paraId="53F6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tcBorders>
              <w:left w:val="single" w:color="auto" w:sz="4" w:space="0"/>
              <w:right w:val="single" w:color="auto" w:sz="4" w:space="0"/>
            </w:tcBorders>
            <w:noWrap w:val="0"/>
            <w:vAlign w:val="center"/>
          </w:tcPr>
          <w:p w14:paraId="0A59C826">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6EABA625">
            <w:pPr>
              <w:rPr>
                <w:szCs w:val="21"/>
              </w:rPr>
            </w:pPr>
            <w:r>
              <w:rPr>
                <w:szCs w:val="21"/>
              </w:rPr>
              <w:t>19</w:t>
            </w:r>
            <w:r>
              <w:rPr>
                <w:rFonts w:hint="eastAsia"/>
                <w:szCs w:val="21"/>
              </w:rPr>
              <w:t>.支持多级权限体系，即支持分级授权管理。</w:t>
            </w:r>
          </w:p>
        </w:tc>
      </w:tr>
      <w:tr w14:paraId="2E8D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vMerge w:val="continue"/>
            <w:tcBorders>
              <w:left w:val="single" w:color="auto" w:sz="4" w:space="0"/>
              <w:bottom w:val="single" w:color="auto" w:sz="4" w:space="0"/>
              <w:right w:val="single" w:color="auto" w:sz="4" w:space="0"/>
            </w:tcBorders>
            <w:noWrap w:val="0"/>
            <w:vAlign w:val="center"/>
          </w:tcPr>
          <w:p w14:paraId="27366D90">
            <w:pPr>
              <w:rPr>
                <w:szCs w:val="21"/>
              </w:rPr>
            </w:pPr>
          </w:p>
        </w:tc>
        <w:tc>
          <w:tcPr>
            <w:tcW w:w="8773" w:type="dxa"/>
            <w:tcBorders>
              <w:top w:val="single" w:color="auto" w:sz="4" w:space="0"/>
              <w:left w:val="single" w:color="auto" w:sz="4" w:space="0"/>
              <w:bottom w:val="single" w:color="auto" w:sz="4" w:space="0"/>
              <w:right w:val="single" w:color="auto" w:sz="4" w:space="0"/>
            </w:tcBorders>
            <w:noWrap w:val="0"/>
            <w:vAlign w:val="center"/>
          </w:tcPr>
          <w:p w14:paraId="7DD94B1B">
            <w:pPr>
              <w:rPr>
                <w:szCs w:val="21"/>
              </w:rPr>
            </w:pPr>
            <w:r>
              <w:rPr>
                <w:szCs w:val="21"/>
              </w:rPr>
              <w:t>20</w:t>
            </w:r>
            <w:r>
              <w:rPr>
                <w:rFonts w:hint="eastAsia"/>
                <w:szCs w:val="21"/>
              </w:rPr>
              <w:t>.支持用户基于角色/岗位的多维权限模型。</w:t>
            </w:r>
          </w:p>
        </w:tc>
      </w:tr>
      <w:tr w14:paraId="252C6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61" w:type="dxa"/>
            <w:tcBorders>
              <w:left w:val="single" w:color="auto" w:sz="4" w:space="0"/>
              <w:bottom w:val="single" w:color="auto" w:sz="4" w:space="0"/>
              <w:right w:val="single" w:color="auto" w:sz="4" w:space="0"/>
            </w:tcBorders>
            <w:noWrap w:val="0"/>
            <w:vAlign w:val="center"/>
          </w:tcPr>
          <w:p w14:paraId="302464EB">
            <w:pPr>
              <w:rPr>
                <w:rFonts w:hint="default" w:eastAsia="宋体"/>
                <w:szCs w:val="21"/>
                <w:lang w:val="en-US" w:eastAsia="zh-CN"/>
              </w:rPr>
            </w:pPr>
            <w:r>
              <w:rPr>
                <w:rFonts w:hint="eastAsia"/>
                <w:szCs w:val="21"/>
                <w:lang w:val="en-US" w:eastAsia="zh-CN"/>
              </w:rPr>
              <w:t>6）</w:t>
            </w:r>
            <w:r>
              <w:rPr>
                <w:szCs w:val="21"/>
              </w:rPr>
              <w:t>100</w:t>
            </w:r>
            <w:r>
              <w:rPr>
                <w:rFonts w:hint="eastAsia"/>
                <w:szCs w:val="21"/>
              </w:rPr>
              <w:t>个流程</w:t>
            </w:r>
          </w:p>
        </w:tc>
        <w:tc>
          <w:tcPr>
            <w:tcW w:w="8773" w:type="dxa"/>
            <w:tcBorders>
              <w:top w:val="single" w:color="auto" w:sz="4" w:space="0"/>
              <w:left w:val="single" w:color="auto" w:sz="4" w:space="0"/>
              <w:bottom w:val="single" w:color="auto" w:sz="4" w:space="0"/>
              <w:right w:val="single" w:color="auto" w:sz="4" w:space="0"/>
            </w:tcBorders>
            <w:noWrap w:val="0"/>
            <w:vAlign w:val="center"/>
          </w:tcPr>
          <w:p w14:paraId="62B5ABB1">
            <w:pPr>
              <w:rPr>
                <w:rFonts w:hint="default" w:eastAsia="宋体"/>
                <w:szCs w:val="21"/>
                <w:lang w:val="en-US" w:eastAsia="zh-CN"/>
              </w:rPr>
            </w:pPr>
            <w:r>
              <w:rPr>
                <w:rFonts w:hint="eastAsia" w:ascii="宋体" w:hAnsi="宋体" w:eastAsia="宋体" w:cs="宋体"/>
                <w:b/>
                <w:color w:val="auto"/>
                <w:sz w:val="24"/>
                <w:highlight w:val="none"/>
              </w:rPr>
              <w:t>▲</w:t>
            </w:r>
            <w:r>
              <w:rPr>
                <w:rFonts w:hint="eastAsia"/>
                <w:szCs w:val="21"/>
                <w:u w:val="single"/>
              </w:rPr>
              <w:t>将学校现有的100个流程应用进行信创适配改造，并将原有流程全量历史数据包括但不限于表单、流程审批步骤、附件、审批记录进行迁移，保障数据完整、业务无缝衔接。</w:t>
            </w:r>
          </w:p>
        </w:tc>
      </w:tr>
    </w:tbl>
    <w:p w14:paraId="69A214EE">
      <w:pPr>
        <w:snapToGrid w:val="0"/>
        <w:spacing w:line="360" w:lineRule="auto"/>
        <w:ind w:firstLine="422" w:firstLineChars="200"/>
        <w:rPr>
          <w:rFonts w:hint="eastAsia" w:ascii="宋体" w:hAnsi="宋体" w:cs="宋体"/>
          <w:b/>
          <w:bCs/>
          <w:highlight w:val="none"/>
          <w:lang w:val="en-US" w:eastAsia="zh-CN"/>
        </w:rPr>
      </w:pPr>
      <w:r>
        <w:rPr>
          <w:rFonts w:hint="eastAsia" w:ascii="宋体" w:hAnsi="宋体" w:cs="宋体"/>
          <w:b/>
          <w:bCs/>
          <w:highlight w:val="none"/>
          <w:lang w:val="en-US" w:eastAsia="zh-CN"/>
        </w:rPr>
        <w:t>2、一站式网上办事大厅系统升级优化</w:t>
      </w:r>
      <w:r>
        <w:rPr>
          <w:rFonts w:hint="eastAsia" w:ascii="宋体" w:hAnsi="宋体" w:cs="宋体"/>
          <w:b/>
          <w:bCs/>
        </w:rPr>
        <w:t>（在现有系统上进行升级优化</w:t>
      </w:r>
      <w:r>
        <w:rPr>
          <w:rFonts w:hint="eastAsia" w:ascii="宋体" w:hAnsi="宋体" w:cs="宋体"/>
          <w:b/>
          <w:bCs/>
          <w:lang w:val="en-US" w:eastAsia="zh-CN"/>
        </w:rPr>
        <w:t>并做信创改造适配</w:t>
      </w:r>
      <w:r>
        <w:rPr>
          <w:rFonts w:hint="eastAsia" w:ascii="宋体" w:hAnsi="宋体" w:cs="宋体"/>
          <w:b/>
          <w:bCs/>
        </w:rPr>
        <w:t>，由此产生的接口对接费、人工费等费用由中标方支付）</w:t>
      </w:r>
    </w:p>
    <w:tbl>
      <w:tblPr>
        <w:tblStyle w:val="7"/>
        <w:tblW w:w="9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2439"/>
        <w:gridCol w:w="6442"/>
      </w:tblGrid>
      <w:tr w14:paraId="5263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4" w:type="dxa"/>
            <w:noWrap w:val="0"/>
            <w:vAlign w:val="top"/>
          </w:tcPr>
          <w:p w14:paraId="3C901D8E">
            <w:pPr>
              <w:numPr>
                <w:ilvl w:val="0"/>
                <w:numId w:val="0"/>
              </w:numPr>
              <w:rPr>
                <w:rFonts w:hint="default"/>
                <w:vertAlign w:val="baseline"/>
                <w:lang w:val="en-US" w:eastAsia="zh-CN"/>
              </w:rPr>
            </w:pPr>
            <w:r>
              <w:rPr>
                <w:rFonts w:hint="eastAsia"/>
                <w:vertAlign w:val="baseline"/>
                <w:lang w:val="en-US" w:eastAsia="zh-CN"/>
              </w:rPr>
              <w:t>序号</w:t>
            </w:r>
          </w:p>
        </w:tc>
        <w:tc>
          <w:tcPr>
            <w:tcW w:w="2439" w:type="dxa"/>
            <w:noWrap w:val="0"/>
            <w:vAlign w:val="top"/>
          </w:tcPr>
          <w:p w14:paraId="44F2AEB3">
            <w:pPr>
              <w:numPr>
                <w:ilvl w:val="0"/>
                <w:numId w:val="0"/>
              </w:numPr>
              <w:jc w:val="center"/>
              <w:rPr>
                <w:rFonts w:hint="default" w:eastAsia="宋体"/>
                <w:vertAlign w:val="baseline"/>
                <w:lang w:val="en-US" w:eastAsia="zh-CN"/>
              </w:rPr>
            </w:pPr>
            <w:r>
              <w:rPr>
                <w:rFonts w:hint="eastAsia"/>
                <w:vertAlign w:val="baseline"/>
                <w:lang w:val="en-US" w:eastAsia="zh-CN"/>
              </w:rPr>
              <w:t>功能模块升级</w:t>
            </w:r>
          </w:p>
        </w:tc>
        <w:tc>
          <w:tcPr>
            <w:tcW w:w="6442" w:type="dxa"/>
            <w:noWrap w:val="0"/>
            <w:vAlign w:val="top"/>
          </w:tcPr>
          <w:p w14:paraId="2AA1B2B0">
            <w:pPr>
              <w:numPr>
                <w:ilvl w:val="0"/>
                <w:numId w:val="0"/>
              </w:numPr>
              <w:jc w:val="center"/>
              <w:rPr>
                <w:rFonts w:hint="eastAsia" w:eastAsia="宋体"/>
                <w:vertAlign w:val="baseline"/>
                <w:lang w:val="en-US" w:eastAsia="zh-CN"/>
              </w:rPr>
            </w:pPr>
            <w:r>
              <w:rPr>
                <w:rFonts w:hint="eastAsia"/>
                <w:vertAlign w:val="baseline"/>
                <w:lang w:val="en-US" w:eastAsia="zh-CN"/>
              </w:rPr>
              <w:t>描述</w:t>
            </w:r>
          </w:p>
        </w:tc>
      </w:tr>
      <w:tr w14:paraId="6BB16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4" w:type="dxa"/>
            <w:noWrap w:val="0"/>
            <w:vAlign w:val="center"/>
          </w:tcPr>
          <w:p w14:paraId="2207CF83">
            <w:pPr>
              <w:numPr>
                <w:ilvl w:val="0"/>
                <w:numId w:val="0"/>
              </w:numPr>
              <w:jc w:val="center"/>
              <w:rPr>
                <w:rFonts w:hint="eastAsia" w:eastAsia="宋体"/>
                <w:lang w:val="en-US" w:eastAsia="zh-CN"/>
              </w:rPr>
            </w:pPr>
            <w:r>
              <w:rPr>
                <w:rFonts w:hint="eastAsia"/>
                <w:lang w:val="en-US" w:eastAsia="zh-CN"/>
              </w:rPr>
              <w:t>1</w:t>
            </w:r>
          </w:p>
        </w:tc>
        <w:tc>
          <w:tcPr>
            <w:tcW w:w="2439" w:type="dxa"/>
            <w:noWrap w:val="0"/>
            <w:vAlign w:val="top"/>
          </w:tcPr>
          <w:p w14:paraId="7F739850">
            <w:pPr>
              <w:numPr>
                <w:ilvl w:val="0"/>
                <w:numId w:val="0"/>
              </w:numPr>
              <w:rPr>
                <w:rFonts w:hint="default"/>
                <w:vertAlign w:val="baseline"/>
                <w:lang w:val="en-US"/>
              </w:rPr>
            </w:pPr>
            <w:r>
              <w:rPr>
                <w:rFonts w:hint="eastAsia"/>
              </w:rPr>
              <w:t>UI重构</w:t>
            </w:r>
          </w:p>
        </w:tc>
        <w:tc>
          <w:tcPr>
            <w:tcW w:w="6442" w:type="dxa"/>
            <w:noWrap w:val="0"/>
            <w:vAlign w:val="top"/>
          </w:tcPr>
          <w:p w14:paraId="0A8C0A1A">
            <w:pPr>
              <w:numPr>
                <w:ilvl w:val="0"/>
                <w:numId w:val="0"/>
              </w:numPr>
              <w:rPr>
                <w:rFonts w:hint="default"/>
                <w:vertAlign w:val="baseline"/>
                <w:lang w:val="en-US"/>
              </w:rPr>
            </w:pPr>
            <w:r>
              <w:rPr>
                <w:rFonts w:hint="eastAsia"/>
              </w:rPr>
              <w:t>开发设计模块UI重构，智能引导式操作流程</w:t>
            </w:r>
          </w:p>
        </w:tc>
      </w:tr>
      <w:tr w14:paraId="45E8A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center"/>
          </w:tcPr>
          <w:p w14:paraId="2A6ED705">
            <w:pPr>
              <w:numPr>
                <w:ilvl w:val="0"/>
                <w:numId w:val="0"/>
              </w:numPr>
              <w:jc w:val="center"/>
              <w:rPr>
                <w:rFonts w:hint="eastAsia" w:eastAsia="宋体"/>
                <w:lang w:val="en-US" w:eastAsia="zh-CN"/>
              </w:rPr>
            </w:pPr>
            <w:r>
              <w:rPr>
                <w:rFonts w:hint="eastAsia"/>
                <w:lang w:val="en-US" w:eastAsia="zh-CN"/>
              </w:rPr>
              <w:t>2</w:t>
            </w:r>
          </w:p>
        </w:tc>
        <w:tc>
          <w:tcPr>
            <w:tcW w:w="2439" w:type="dxa"/>
            <w:noWrap w:val="0"/>
            <w:vAlign w:val="top"/>
          </w:tcPr>
          <w:p w14:paraId="3E4B0A35">
            <w:pPr>
              <w:numPr>
                <w:ilvl w:val="0"/>
                <w:numId w:val="0"/>
              </w:numPr>
              <w:rPr>
                <w:rFonts w:hint="default"/>
                <w:vertAlign w:val="baseline"/>
                <w:lang w:val="en-US"/>
              </w:rPr>
            </w:pPr>
            <w:r>
              <w:rPr>
                <w:rFonts w:hint="eastAsia" w:ascii="宋体" w:hAnsi="宋体" w:cs="宋体"/>
                <w:b w:val="0"/>
                <w:bCs w:val="0"/>
                <w:szCs w:val="21"/>
                <w:highlight w:val="none"/>
              </w:rPr>
              <w:t>★</w:t>
            </w:r>
            <w:r>
              <w:rPr>
                <w:rFonts w:hint="eastAsia"/>
              </w:rPr>
              <w:t>数据导入校验升级</w:t>
            </w:r>
          </w:p>
        </w:tc>
        <w:tc>
          <w:tcPr>
            <w:tcW w:w="6442" w:type="dxa"/>
            <w:noWrap w:val="0"/>
            <w:vAlign w:val="top"/>
          </w:tcPr>
          <w:p w14:paraId="10584AAC">
            <w:pPr>
              <w:numPr>
                <w:ilvl w:val="0"/>
                <w:numId w:val="0"/>
              </w:numPr>
              <w:rPr>
                <w:rFonts w:hint="default"/>
                <w:vertAlign w:val="baseline"/>
                <w:lang w:val="en-US"/>
              </w:rPr>
            </w:pPr>
            <w:r>
              <w:rPr>
                <w:rFonts w:hint="eastAsia"/>
              </w:rPr>
              <w:t>导入时可以对字段设置是否启用唯一约束、按公式、格式、字典、接口进行导入验证，导入时按配置自动校验数据，用户可以导出校验不通过的数据，并且</w:t>
            </w:r>
            <w:r>
              <w:rPr>
                <w:rFonts w:hint="eastAsia"/>
                <w:lang w:val="en-US" w:eastAsia="zh-CN"/>
              </w:rPr>
              <w:t>标注</w:t>
            </w:r>
            <w:r>
              <w:rPr>
                <w:rFonts w:hint="eastAsia"/>
              </w:rPr>
              <w:t>每条数据校验不通过原因。</w:t>
            </w:r>
          </w:p>
        </w:tc>
      </w:tr>
      <w:tr w14:paraId="270D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4" w:type="dxa"/>
            <w:noWrap w:val="0"/>
            <w:vAlign w:val="center"/>
          </w:tcPr>
          <w:p w14:paraId="5D559840">
            <w:pPr>
              <w:numPr>
                <w:ilvl w:val="0"/>
                <w:numId w:val="0"/>
              </w:numPr>
              <w:jc w:val="center"/>
              <w:rPr>
                <w:rFonts w:hint="eastAsia" w:eastAsia="宋体"/>
                <w:lang w:val="en-US" w:eastAsia="zh-CN"/>
              </w:rPr>
            </w:pPr>
            <w:r>
              <w:rPr>
                <w:rFonts w:hint="eastAsia"/>
                <w:lang w:val="en-US" w:eastAsia="zh-CN"/>
              </w:rPr>
              <w:t>3</w:t>
            </w:r>
          </w:p>
        </w:tc>
        <w:tc>
          <w:tcPr>
            <w:tcW w:w="2439" w:type="dxa"/>
            <w:noWrap w:val="0"/>
            <w:vAlign w:val="top"/>
          </w:tcPr>
          <w:p w14:paraId="56B748BE">
            <w:pPr>
              <w:numPr>
                <w:ilvl w:val="0"/>
                <w:numId w:val="0"/>
              </w:numPr>
              <w:rPr>
                <w:rFonts w:hint="default"/>
                <w:vertAlign w:val="baseline"/>
                <w:lang w:val="en-US"/>
              </w:rPr>
            </w:pPr>
            <w:r>
              <w:rPr>
                <w:rFonts w:hint="eastAsia"/>
              </w:rPr>
              <w:t>相对岗位审批人升级</w:t>
            </w:r>
          </w:p>
        </w:tc>
        <w:tc>
          <w:tcPr>
            <w:tcW w:w="6442" w:type="dxa"/>
            <w:noWrap w:val="0"/>
            <w:vAlign w:val="top"/>
          </w:tcPr>
          <w:p w14:paraId="52F3EB03">
            <w:pPr>
              <w:numPr>
                <w:ilvl w:val="0"/>
                <w:numId w:val="0"/>
              </w:numPr>
              <w:rPr>
                <w:rFonts w:hint="default"/>
                <w:vertAlign w:val="baseline"/>
                <w:lang w:val="en-US"/>
              </w:rPr>
            </w:pPr>
            <w:r>
              <w:rPr>
                <w:rFonts w:hint="eastAsia"/>
              </w:rPr>
              <w:t>流程处理人类型为相对岗位的时候，可以选择按流程、按部门、按流程变量匹配处理人。</w:t>
            </w:r>
          </w:p>
        </w:tc>
      </w:tr>
      <w:tr w14:paraId="17D5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4" w:type="dxa"/>
            <w:noWrap w:val="0"/>
            <w:vAlign w:val="center"/>
          </w:tcPr>
          <w:p w14:paraId="79D22295">
            <w:pPr>
              <w:numPr>
                <w:ilvl w:val="0"/>
                <w:numId w:val="0"/>
              </w:numPr>
              <w:jc w:val="center"/>
              <w:rPr>
                <w:rFonts w:hint="eastAsia" w:eastAsia="宋体"/>
                <w:vertAlign w:val="baseline"/>
                <w:lang w:val="en-US" w:eastAsia="zh-CN"/>
              </w:rPr>
            </w:pPr>
            <w:r>
              <w:rPr>
                <w:rFonts w:hint="eastAsia"/>
                <w:vertAlign w:val="baseline"/>
                <w:lang w:val="en-US" w:eastAsia="zh-CN"/>
              </w:rPr>
              <w:t>4</w:t>
            </w:r>
          </w:p>
        </w:tc>
        <w:tc>
          <w:tcPr>
            <w:tcW w:w="2439" w:type="dxa"/>
            <w:noWrap w:val="0"/>
            <w:vAlign w:val="center"/>
          </w:tcPr>
          <w:p w14:paraId="4795F106">
            <w:pPr>
              <w:rPr>
                <w:rFonts w:hint="default" w:ascii="Calibri" w:hAnsi="Calibri" w:eastAsia="宋体" w:cs="Times New Roman"/>
                <w:kern w:val="2"/>
                <w:sz w:val="21"/>
                <w:szCs w:val="24"/>
                <w:lang w:val="en-US" w:eastAsia="zh-CN" w:bidi="ar-SA"/>
              </w:rPr>
            </w:pPr>
            <w:r>
              <w:rPr>
                <w:rFonts w:hint="eastAsia"/>
              </w:rPr>
              <w:t>字段二维码显示升级</w:t>
            </w:r>
          </w:p>
        </w:tc>
        <w:tc>
          <w:tcPr>
            <w:tcW w:w="6442" w:type="dxa"/>
            <w:noWrap w:val="0"/>
            <w:vAlign w:val="center"/>
          </w:tcPr>
          <w:p w14:paraId="14D4E98B">
            <w:pPr>
              <w:rPr>
                <w:rFonts w:hint="default" w:ascii="Calibri" w:hAnsi="Calibri" w:eastAsia="宋体" w:cs="Times New Roman"/>
                <w:kern w:val="2"/>
                <w:sz w:val="21"/>
                <w:szCs w:val="24"/>
                <w:lang w:val="en-US" w:eastAsia="zh-CN" w:bidi="ar-SA"/>
              </w:rPr>
            </w:pPr>
            <w:r>
              <w:rPr>
                <w:rFonts w:hint="eastAsia"/>
              </w:rPr>
              <w:t>针对表单字段，可以设置将内容渲染为二维码进行显示。</w:t>
            </w:r>
          </w:p>
        </w:tc>
      </w:tr>
      <w:tr w14:paraId="682C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center"/>
          </w:tcPr>
          <w:p w14:paraId="5A376BAE">
            <w:pPr>
              <w:numPr>
                <w:ilvl w:val="0"/>
                <w:numId w:val="0"/>
              </w:numPr>
              <w:jc w:val="center"/>
              <w:rPr>
                <w:rFonts w:hint="eastAsia" w:eastAsia="宋体"/>
                <w:vertAlign w:val="baseline"/>
                <w:lang w:val="en-US" w:eastAsia="zh-CN"/>
              </w:rPr>
            </w:pPr>
            <w:r>
              <w:rPr>
                <w:rFonts w:hint="eastAsia"/>
                <w:vertAlign w:val="baseline"/>
                <w:lang w:val="en-US" w:eastAsia="zh-CN"/>
              </w:rPr>
              <w:t>5</w:t>
            </w:r>
          </w:p>
        </w:tc>
        <w:tc>
          <w:tcPr>
            <w:tcW w:w="2439" w:type="dxa"/>
            <w:noWrap w:val="0"/>
            <w:vAlign w:val="center"/>
          </w:tcPr>
          <w:p w14:paraId="68FAC7AB">
            <w:pPr>
              <w:rPr>
                <w:rFonts w:hint="default" w:ascii="Calibri" w:hAnsi="Calibri" w:eastAsia="宋体" w:cs="Times New Roman"/>
                <w:kern w:val="2"/>
                <w:sz w:val="21"/>
                <w:szCs w:val="24"/>
                <w:lang w:val="en-US" w:eastAsia="zh-CN" w:bidi="ar-SA"/>
              </w:rPr>
            </w:pPr>
            <w:r>
              <w:rPr>
                <w:rFonts w:hint="eastAsia"/>
              </w:rPr>
              <w:t>添加验证码控件</w:t>
            </w:r>
          </w:p>
        </w:tc>
        <w:tc>
          <w:tcPr>
            <w:tcW w:w="6442" w:type="dxa"/>
            <w:noWrap w:val="0"/>
            <w:vAlign w:val="center"/>
          </w:tcPr>
          <w:p w14:paraId="5B0435C2">
            <w:pPr>
              <w:rPr>
                <w:rFonts w:hint="default" w:ascii="Calibri" w:hAnsi="Calibri" w:eastAsia="宋体" w:cs="Times New Roman"/>
                <w:kern w:val="2"/>
                <w:sz w:val="21"/>
                <w:szCs w:val="24"/>
                <w:lang w:val="en-US" w:eastAsia="zh-CN" w:bidi="ar-SA"/>
              </w:rPr>
            </w:pPr>
            <w:r>
              <w:rPr>
                <w:rFonts w:hint="eastAsia"/>
              </w:rPr>
              <w:t>表单添加验证码控件，可以对接学校短信平台，进行短信验证码校验。</w:t>
            </w:r>
          </w:p>
        </w:tc>
      </w:tr>
      <w:tr w14:paraId="3C0A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center"/>
          </w:tcPr>
          <w:p w14:paraId="55FDA454">
            <w:pPr>
              <w:numPr>
                <w:ilvl w:val="0"/>
                <w:numId w:val="0"/>
              </w:numPr>
              <w:jc w:val="center"/>
              <w:rPr>
                <w:rFonts w:hint="eastAsia" w:eastAsia="宋体"/>
                <w:vertAlign w:val="baseline"/>
                <w:lang w:val="en-US" w:eastAsia="zh-CN"/>
              </w:rPr>
            </w:pPr>
            <w:r>
              <w:rPr>
                <w:rFonts w:hint="eastAsia"/>
                <w:vertAlign w:val="baseline"/>
                <w:lang w:val="en-US" w:eastAsia="zh-CN"/>
              </w:rPr>
              <w:t>6</w:t>
            </w:r>
          </w:p>
        </w:tc>
        <w:tc>
          <w:tcPr>
            <w:tcW w:w="2439" w:type="dxa"/>
            <w:noWrap w:val="0"/>
            <w:vAlign w:val="center"/>
          </w:tcPr>
          <w:p w14:paraId="7208AE2C">
            <w:pPr>
              <w:rPr>
                <w:rFonts w:hint="default" w:ascii="Calibri" w:hAnsi="Calibri" w:eastAsia="宋体" w:cs="Times New Roman"/>
                <w:kern w:val="2"/>
                <w:sz w:val="21"/>
                <w:szCs w:val="24"/>
                <w:lang w:val="en-US" w:eastAsia="zh-CN" w:bidi="ar-SA"/>
              </w:rPr>
            </w:pPr>
            <w:r>
              <w:rPr>
                <w:rFonts w:hint="eastAsia"/>
              </w:rPr>
              <w:t>待办显示升级</w:t>
            </w:r>
          </w:p>
        </w:tc>
        <w:tc>
          <w:tcPr>
            <w:tcW w:w="6442" w:type="dxa"/>
            <w:noWrap w:val="0"/>
            <w:vAlign w:val="center"/>
          </w:tcPr>
          <w:p w14:paraId="027D1DE7">
            <w:pPr>
              <w:rPr>
                <w:rFonts w:hint="default" w:ascii="Calibri" w:hAnsi="Calibri" w:eastAsia="宋体" w:cs="Times New Roman"/>
                <w:kern w:val="2"/>
                <w:sz w:val="21"/>
                <w:szCs w:val="24"/>
                <w:lang w:val="en-US" w:eastAsia="zh-CN" w:bidi="ar-SA"/>
              </w:rPr>
            </w:pPr>
            <w:r>
              <w:rPr>
                <w:rFonts w:hint="eastAsia"/>
              </w:rPr>
              <w:t>可以配置待办列表需要显示的字段名称、格式化显示内容、字段显示顺序。</w:t>
            </w:r>
          </w:p>
        </w:tc>
      </w:tr>
      <w:tr w14:paraId="31287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34" w:type="dxa"/>
            <w:noWrap w:val="0"/>
            <w:vAlign w:val="center"/>
          </w:tcPr>
          <w:p w14:paraId="18FB47FD">
            <w:pPr>
              <w:numPr>
                <w:ilvl w:val="0"/>
                <w:numId w:val="0"/>
              </w:numPr>
              <w:jc w:val="center"/>
              <w:rPr>
                <w:rFonts w:hint="eastAsia" w:eastAsia="宋体"/>
                <w:vertAlign w:val="baseline"/>
                <w:lang w:val="en-US" w:eastAsia="zh-CN"/>
              </w:rPr>
            </w:pPr>
            <w:r>
              <w:rPr>
                <w:rFonts w:hint="eastAsia"/>
                <w:vertAlign w:val="baseline"/>
                <w:lang w:val="en-US" w:eastAsia="zh-CN"/>
              </w:rPr>
              <w:t>7</w:t>
            </w:r>
          </w:p>
        </w:tc>
        <w:tc>
          <w:tcPr>
            <w:tcW w:w="2439" w:type="dxa"/>
            <w:noWrap w:val="0"/>
            <w:vAlign w:val="center"/>
          </w:tcPr>
          <w:p w14:paraId="0EDC9F7B">
            <w:pPr>
              <w:rPr>
                <w:rFonts w:hint="default" w:ascii="Calibri" w:hAnsi="Calibri" w:eastAsia="宋体" w:cs="Times New Roman"/>
                <w:kern w:val="2"/>
                <w:sz w:val="21"/>
                <w:szCs w:val="24"/>
                <w:lang w:val="en-US" w:eastAsia="zh-CN" w:bidi="ar-SA"/>
              </w:rPr>
            </w:pPr>
            <w:r>
              <w:rPr>
                <w:rFonts w:hint="eastAsia"/>
              </w:rPr>
              <w:t>审批签名升级</w:t>
            </w:r>
          </w:p>
        </w:tc>
        <w:tc>
          <w:tcPr>
            <w:tcW w:w="6442" w:type="dxa"/>
            <w:noWrap w:val="0"/>
            <w:vAlign w:val="center"/>
          </w:tcPr>
          <w:p w14:paraId="08C31DDD">
            <w:pPr>
              <w:rPr>
                <w:rFonts w:hint="default" w:ascii="Calibri" w:hAnsi="Calibri" w:eastAsia="宋体" w:cs="Times New Roman"/>
                <w:kern w:val="2"/>
                <w:sz w:val="21"/>
                <w:szCs w:val="24"/>
                <w:lang w:val="en-US" w:eastAsia="zh-CN" w:bidi="ar-SA"/>
              </w:rPr>
            </w:pPr>
            <w:r>
              <w:rPr>
                <w:rFonts w:hint="eastAsia"/>
              </w:rPr>
              <w:t>可以按流程配置审批时是否需要签名，配置后在审批流程时需要签名后才能审批。</w:t>
            </w:r>
          </w:p>
        </w:tc>
      </w:tr>
      <w:tr w14:paraId="2BD49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center"/>
          </w:tcPr>
          <w:p w14:paraId="39A106F1">
            <w:pPr>
              <w:numPr>
                <w:ilvl w:val="0"/>
                <w:numId w:val="0"/>
              </w:numPr>
              <w:jc w:val="center"/>
              <w:rPr>
                <w:rFonts w:hint="eastAsia" w:eastAsia="宋体"/>
                <w:vertAlign w:val="baseline"/>
                <w:lang w:val="en-US" w:eastAsia="zh-CN"/>
              </w:rPr>
            </w:pPr>
            <w:r>
              <w:rPr>
                <w:rFonts w:hint="eastAsia"/>
                <w:vertAlign w:val="baseline"/>
                <w:lang w:val="en-US" w:eastAsia="zh-CN"/>
              </w:rPr>
              <w:t>8</w:t>
            </w:r>
          </w:p>
        </w:tc>
        <w:tc>
          <w:tcPr>
            <w:tcW w:w="2439" w:type="dxa"/>
            <w:noWrap w:val="0"/>
            <w:vAlign w:val="center"/>
          </w:tcPr>
          <w:p w14:paraId="200B05BA">
            <w:pPr>
              <w:rPr>
                <w:rFonts w:hint="default" w:ascii="Calibri" w:hAnsi="Calibri" w:eastAsia="宋体" w:cs="Times New Roman"/>
                <w:kern w:val="2"/>
                <w:sz w:val="21"/>
                <w:szCs w:val="24"/>
                <w:lang w:val="en-US" w:eastAsia="zh-CN" w:bidi="ar-SA"/>
              </w:rPr>
            </w:pPr>
            <w:r>
              <w:rPr>
                <w:rFonts w:hint="eastAsia"/>
              </w:rPr>
              <w:t>用户选择控件升级</w:t>
            </w:r>
          </w:p>
        </w:tc>
        <w:tc>
          <w:tcPr>
            <w:tcW w:w="6442" w:type="dxa"/>
            <w:noWrap w:val="0"/>
            <w:vAlign w:val="center"/>
          </w:tcPr>
          <w:p w14:paraId="2ABC7D63">
            <w:pPr>
              <w:rPr>
                <w:rFonts w:hint="default" w:ascii="Calibri" w:hAnsi="Calibri" w:eastAsia="宋体" w:cs="Times New Roman"/>
                <w:kern w:val="2"/>
                <w:sz w:val="21"/>
                <w:szCs w:val="24"/>
                <w:lang w:val="en-US" w:eastAsia="zh-CN" w:bidi="ar-SA"/>
              </w:rPr>
            </w:pPr>
            <w:r>
              <w:rPr>
                <w:rFonts w:hint="eastAsia"/>
              </w:rPr>
              <w:t>用户控件在选择用户时可以通过选择部门批量选择部门下的用户。</w:t>
            </w:r>
          </w:p>
        </w:tc>
      </w:tr>
      <w:tr w14:paraId="5EAD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center"/>
          </w:tcPr>
          <w:p w14:paraId="0FDE09FE">
            <w:pPr>
              <w:numPr>
                <w:ilvl w:val="0"/>
                <w:numId w:val="0"/>
              </w:numPr>
              <w:jc w:val="center"/>
              <w:rPr>
                <w:rFonts w:hint="eastAsia" w:eastAsia="宋体"/>
                <w:vertAlign w:val="baseline"/>
                <w:lang w:val="en-US" w:eastAsia="zh-CN"/>
              </w:rPr>
            </w:pPr>
            <w:r>
              <w:rPr>
                <w:rFonts w:hint="eastAsia"/>
                <w:vertAlign w:val="baseline"/>
                <w:lang w:val="en-US" w:eastAsia="zh-CN"/>
              </w:rPr>
              <w:t>9</w:t>
            </w:r>
          </w:p>
        </w:tc>
        <w:tc>
          <w:tcPr>
            <w:tcW w:w="2439" w:type="dxa"/>
            <w:noWrap w:val="0"/>
            <w:vAlign w:val="center"/>
          </w:tcPr>
          <w:p w14:paraId="5110A192">
            <w:pPr>
              <w:rPr>
                <w:rFonts w:hint="default" w:ascii="Calibri" w:hAnsi="Calibri" w:eastAsia="宋体" w:cs="Times New Roman"/>
                <w:kern w:val="2"/>
                <w:sz w:val="21"/>
                <w:szCs w:val="24"/>
                <w:lang w:val="en-US" w:eastAsia="zh-CN" w:bidi="ar-SA"/>
              </w:rPr>
            </w:pPr>
            <w:r>
              <w:rPr>
                <w:rFonts w:hint="eastAsia"/>
              </w:rPr>
              <w:t>无处理人自动审批升级</w:t>
            </w:r>
          </w:p>
        </w:tc>
        <w:tc>
          <w:tcPr>
            <w:tcW w:w="6442" w:type="dxa"/>
            <w:noWrap w:val="0"/>
            <w:vAlign w:val="center"/>
          </w:tcPr>
          <w:p w14:paraId="0B9903B5">
            <w:pPr>
              <w:rPr>
                <w:rFonts w:hint="default" w:ascii="Calibri" w:hAnsi="Calibri" w:eastAsia="宋体" w:cs="Times New Roman"/>
                <w:kern w:val="2"/>
                <w:sz w:val="21"/>
                <w:szCs w:val="24"/>
                <w:lang w:val="en-US" w:eastAsia="zh-CN" w:bidi="ar-SA"/>
              </w:rPr>
            </w:pPr>
            <w:r>
              <w:rPr>
                <w:rFonts w:hint="eastAsia"/>
              </w:rPr>
              <w:t>在流程审核步骤未匹配到审核人时系统自动提交审批任务</w:t>
            </w:r>
            <w:r>
              <w:rPr>
                <w:rFonts w:hint="eastAsia"/>
                <w:lang w:eastAsia="zh-CN"/>
              </w:rPr>
              <w:t>，可</w:t>
            </w:r>
            <w:r>
              <w:rPr>
                <w:rFonts w:hint="eastAsia"/>
                <w:lang w:val="en-US" w:eastAsia="zh-CN"/>
              </w:rPr>
              <w:t>控制该功能</w:t>
            </w:r>
            <w:r>
              <w:rPr>
                <w:rFonts w:hint="eastAsia"/>
              </w:rPr>
              <w:t>。</w:t>
            </w:r>
          </w:p>
        </w:tc>
      </w:tr>
      <w:tr w14:paraId="4CE3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center"/>
          </w:tcPr>
          <w:p w14:paraId="3B76EE9B">
            <w:pPr>
              <w:numPr>
                <w:ilvl w:val="0"/>
                <w:numId w:val="0"/>
              </w:numPr>
              <w:jc w:val="center"/>
              <w:rPr>
                <w:rFonts w:hint="default" w:eastAsia="宋体"/>
                <w:vertAlign w:val="baseline"/>
                <w:lang w:val="en-US" w:eastAsia="zh-CN"/>
              </w:rPr>
            </w:pPr>
            <w:r>
              <w:rPr>
                <w:rFonts w:hint="eastAsia"/>
                <w:vertAlign w:val="baseline"/>
                <w:lang w:val="en-US" w:eastAsia="zh-CN"/>
              </w:rPr>
              <w:t>10</w:t>
            </w:r>
          </w:p>
        </w:tc>
        <w:tc>
          <w:tcPr>
            <w:tcW w:w="2439" w:type="dxa"/>
            <w:noWrap w:val="0"/>
            <w:vAlign w:val="center"/>
          </w:tcPr>
          <w:p w14:paraId="4B6A1CA1">
            <w:pPr>
              <w:rPr>
                <w:rFonts w:hint="default" w:ascii="Calibri" w:hAnsi="Calibri" w:eastAsia="宋体" w:cs="Times New Roman"/>
                <w:kern w:val="2"/>
                <w:sz w:val="21"/>
                <w:szCs w:val="24"/>
                <w:lang w:val="en-US" w:eastAsia="zh-CN" w:bidi="ar-SA"/>
              </w:rPr>
            </w:pPr>
            <w:r>
              <w:rPr>
                <w:rFonts w:hint="eastAsia"/>
              </w:rPr>
              <w:t>树形列表升级</w:t>
            </w:r>
          </w:p>
        </w:tc>
        <w:tc>
          <w:tcPr>
            <w:tcW w:w="6442" w:type="dxa"/>
            <w:noWrap w:val="0"/>
            <w:vAlign w:val="center"/>
          </w:tcPr>
          <w:p w14:paraId="41A0D554">
            <w:pPr>
              <w:rPr>
                <w:rFonts w:hint="default" w:ascii="Calibri" w:hAnsi="Calibri" w:eastAsia="宋体" w:cs="Times New Roman"/>
                <w:kern w:val="2"/>
                <w:sz w:val="21"/>
                <w:szCs w:val="24"/>
                <w:lang w:val="en-US" w:eastAsia="zh-CN" w:bidi="ar-SA"/>
              </w:rPr>
            </w:pPr>
            <w:r>
              <w:rPr>
                <w:rFonts w:hint="eastAsia"/>
              </w:rPr>
              <w:t>在数据列表左侧添加树形目录，可以通过点击树形节点在列表内显示对应的数据。</w:t>
            </w:r>
          </w:p>
        </w:tc>
      </w:tr>
      <w:tr w14:paraId="22566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center"/>
          </w:tcPr>
          <w:p w14:paraId="3DBC9147">
            <w:pPr>
              <w:numPr>
                <w:ilvl w:val="0"/>
                <w:numId w:val="0"/>
              </w:numPr>
              <w:jc w:val="center"/>
              <w:rPr>
                <w:rFonts w:hint="default" w:eastAsia="宋体"/>
                <w:vertAlign w:val="baseline"/>
                <w:lang w:val="en-US" w:eastAsia="zh-CN"/>
              </w:rPr>
            </w:pPr>
            <w:r>
              <w:rPr>
                <w:rFonts w:hint="eastAsia"/>
                <w:vertAlign w:val="baseline"/>
                <w:lang w:val="en-US" w:eastAsia="zh-CN"/>
              </w:rPr>
              <w:t>11</w:t>
            </w:r>
          </w:p>
        </w:tc>
        <w:tc>
          <w:tcPr>
            <w:tcW w:w="2439" w:type="dxa"/>
            <w:noWrap w:val="0"/>
            <w:vAlign w:val="center"/>
          </w:tcPr>
          <w:p w14:paraId="39FDCB83">
            <w:pPr>
              <w:rPr>
                <w:rFonts w:hint="default" w:ascii="Calibri" w:hAnsi="Calibri" w:eastAsia="宋体" w:cs="Times New Roman"/>
                <w:kern w:val="2"/>
                <w:sz w:val="21"/>
                <w:szCs w:val="24"/>
                <w:lang w:val="en-US" w:eastAsia="zh-CN" w:bidi="ar-SA"/>
              </w:rPr>
            </w:pPr>
            <w:r>
              <w:rPr>
                <w:rFonts w:hint="eastAsia"/>
              </w:rPr>
              <w:t>自定义导出</w:t>
            </w:r>
          </w:p>
        </w:tc>
        <w:tc>
          <w:tcPr>
            <w:tcW w:w="6442" w:type="dxa"/>
            <w:noWrap w:val="0"/>
            <w:vAlign w:val="center"/>
          </w:tcPr>
          <w:p w14:paraId="687C606F">
            <w:pPr>
              <w:rPr>
                <w:rFonts w:hint="default" w:ascii="Calibri" w:hAnsi="Calibri" w:eastAsia="宋体" w:cs="Times New Roman"/>
                <w:kern w:val="2"/>
                <w:sz w:val="21"/>
                <w:szCs w:val="24"/>
                <w:lang w:val="en-US" w:eastAsia="zh-CN" w:bidi="ar-SA"/>
              </w:rPr>
            </w:pPr>
            <w:r>
              <w:rPr>
                <w:rFonts w:hint="eastAsia"/>
              </w:rPr>
              <w:t>自定义导出，用户导出时可以选择需要导出的字段，并可以预览导出的</w:t>
            </w:r>
            <w:r>
              <w:rPr>
                <w:rFonts w:hint="eastAsia"/>
                <w:lang w:val="en-US" w:eastAsia="zh-CN"/>
              </w:rPr>
              <w:t>数据</w:t>
            </w:r>
            <w:r>
              <w:rPr>
                <w:rFonts w:hint="eastAsia"/>
              </w:rPr>
              <w:t>。</w:t>
            </w:r>
          </w:p>
        </w:tc>
      </w:tr>
      <w:tr w14:paraId="56FA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4" w:type="dxa"/>
            <w:noWrap w:val="0"/>
            <w:vAlign w:val="center"/>
          </w:tcPr>
          <w:p w14:paraId="19B745F6">
            <w:pPr>
              <w:numPr>
                <w:ilvl w:val="0"/>
                <w:numId w:val="0"/>
              </w:numPr>
              <w:jc w:val="center"/>
              <w:rPr>
                <w:rFonts w:hint="default" w:eastAsia="宋体"/>
                <w:vertAlign w:val="baseline"/>
                <w:lang w:val="en-US" w:eastAsia="zh-CN"/>
              </w:rPr>
            </w:pPr>
            <w:r>
              <w:rPr>
                <w:rFonts w:hint="eastAsia"/>
                <w:vertAlign w:val="baseline"/>
                <w:lang w:val="en-US" w:eastAsia="zh-CN"/>
              </w:rPr>
              <w:t>12</w:t>
            </w:r>
          </w:p>
        </w:tc>
        <w:tc>
          <w:tcPr>
            <w:tcW w:w="2439" w:type="dxa"/>
            <w:noWrap w:val="0"/>
            <w:vAlign w:val="center"/>
          </w:tcPr>
          <w:p w14:paraId="00015E87">
            <w:pPr>
              <w:rPr>
                <w:rFonts w:hint="eastAsia" w:ascii="Calibri" w:hAnsi="Calibri" w:eastAsia="宋体" w:cs="Times New Roman"/>
                <w:kern w:val="2"/>
                <w:sz w:val="21"/>
                <w:szCs w:val="24"/>
                <w:lang w:val="en-US" w:eastAsia="zh-CN" w:bidi="ar-SA"/>
              </w:rPr>
            </w:pPr>
            <w:r>
              <w:rPr>
                <w:rFonts w:hint="eastAsia"/>
              </w:rPr>
              <w:t>添加</w:t>
            </w:r>
            <w:r>
              <w:rPr>
                <w:rFonts w:hint="eastAsia"/>
                <w:lang w:eastAsia="zh-CN"/>
              </w:rPr>
              <w:t>计算公式</w:t>
            </w:r>
          </w:p>
        </w:tc>
        <w:tc>
          <w:tcPr>
            <w:tcW w:w="6442" w:type="dxa"/>
            <w:noWrap w:val="0"/>
            <w:vAlign w:val="center"/>
          </w:tcPr>
          <w:p w14:paraId="7D6259B6">
            <w:pPr>
              <w:rPr>
                <w:rFonts w:hint="eastAsia" w:ascii="Calibri" w:hAnsi="Calibri" w:eastAsia="宋体" w:cs="Times New Roman"/>
                <w:kern w:val="2"/>
                <w:sz w:val="21"/>
                <w:szCs w:val="24"/>
                <w:lang w:val="en-US" w:eastAsia="zh-CN" w:bidi="ar-SA"/>
              </w:rPr>
            </w:pPr>
            <w:r>
              <w:rPr>
                <w:rFonts w:hint="eastAsia"/>
              </w:rPr>
              <w:t>计算公式，设计表单的时候可以通过配置函数自动生成值</w:t>
            </w:r>
            <w:r>
              <w:rPr>
                <w:rFonts w:hint="eastAsia"/>
                <w:lang w:eastAsia="zh-CN"/>
              </w:rPr>
              <w:t>。</w:t>
            </w:r>
          </w:p>
        </w:tc>
      </w:tr>
      <w:tr w14:paraId="5E6BE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center"/>
          </w:tcPr>
          <w:p w14:paraId="5B236D03">
            <w:pPr>
              <w:numPr>
                <w:ilvl w:val="0"/>
                <w:numId w:val="0"/>
              </w:numPr>
              <w:jc w:val="center"/>
              <w:rPr>
                <w:rFonts w:hint="default" w:eastAsia="宋体"/>
                <w:vertAlign w:val="baseline"/>
                <w:lang w:val="en-US" w:eastAsia="zh-CN"/>
              </w:rPr>
            </w:pPr>
            <w:r>
              <w:rPr>
                <w:rFonts w:hint="eastAsia"/>
                <w:vertAlign w:val="baseline"/>
                <w:lang w:val="en-US" w:eastAsia="zh-CN"/>
              </w:rPr>
              <w:t>13</w:t>
            </w:r>
          </w:p>
        </w:tc>
        <w:tc>
          <w:tcPr>
            <w:tcW w:w="2439" w:type="dxa"/>
            <w:noWrap w:val="0"/>
            <w:vAlign w:val="center"/>
          </w:tcPr>
          <w:p w14:paraId="3331E7EF">
            <w:pPr>
              <w:rPr>
                <w:rFonts w:hint="default" w:ascii="Calibri" w:hAnsi="Calibri" w:eastAsia="宋体" w:cs="Times New Roman"/>
                <w:kern w:val="2"/>
                <w:sz w:val="21"/>
                <w:szCs w:val="24"/>
                <w:lang w:val="en-US" w:eastAsia="zh-CN" w:bidi="ar-SA"/>
              </w:rPr>
            </w:pPr>
            <w:r>
              <w:rPr>
                <w:rFonts w:hint="eastAsia"/>
              </w:rPr>
              <w:t>流程审批逻辑优化</w:t>
            </w:r>
          </w:p>
        </w:tc>
        <w:tc>
          <w:tcPr>
            <w:tcW w:w="6442" w:type="dxa"/>
            <w:noWrap w:val="0"/>
            <w:vAlign w:val="center"/>
          </w:tcPr>
          <w:p w14:paraId="3F214227">
            <w:pPr>
              <w:rPr>
                <w:rFonts w:hint="default" w:ascii="Calibri" w:hAnsi="Calibri" w:eastAsia="宋体" w:cs="Times New Roman"/>
                <w:kern w:val="2"/>
                <w:sz w:val="21"/>
                <w:szCs w:val="24"/>
                <w:lang w:val="en-US" w:eastAsia="zh-CN" w:bidi="ar-SA"/>
              </w:rPr>
            </w:pPr>
            <w:r>
              <w:rPr>
                <w:rFonts w:hint="eastAsia"/>
              </w:rPr>
              <w:t>不配置节点审批人的时候或者对应的节点审批人不存在的时候（包含了所有逻辑判断的审批人以及审批链的审批人），流程图和流程将自动跳过这个节点且不显示相关审批。</w:t>
            </w:r>
          </w:p>
        </w:tc>
      </w:tr>
      <w:tr w14:paraId="180CB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734" w:type="dxa"/>
            <w:noWrap w:val="0"/>
            <w:vAlign w:val="center"/>
          </w:tcPr>
          <w:p w14:paraId="56C1C5AB">
            <w:pPr>
              <w:numPr>
                <w:ilvl w:val="0"/>
                <w:numId w:val="0"/>
              </w:numPr>
              <w:jc w:val="center"/>
              <w:rPr>
                <w:rFonts w:hint="default" w:eastAsia="宋体"/>
                <w:vertAlign w:val="baseline"/>
                <w:lang w:val="en-US" w:eastAsia="zh-CN"/>
              </w:rPr>
            </w:pPr>
            <w:r>
              <w:rPr>
                <w:rFonts w:hint="eastAsia"/>
                <w:vertAlign w:val="baseline"/>
                <w:lang w:val="en-US" w:eastAsia="zh-CN"/>
              </w:rPr>
              <w:t>14</w:t>
            </w:r>
          </w:p>
        </w:tc>
        <w:tc>
          <w:tcPr>
            <w:tcW w:w="2439" w:type="dxa"/>
            <w:noWrap w:val="0"/>
            <w:vAlign w:val="center"/>
          </w:tcPr>
          <w:p w14:paraId="11420844">
            <w:pPr>
              <w:rPr>
                <w:rFonts w:hint="default" w:ascii="Calibri" w:hAnsi="Calibri" w:eastAsia="宋体" w:cs="Times New Roman"/>
                <w:kern w:val="2"/>
                <w:sz w:val="21"/>
                <w:szCs w:val="24"/>
                <w:lang w:val="en-US" w:eastAsia="zh-CN" w:bidi="ar-SA"/>
              </w:rPr>
            </w:pPr>
            <w:r>
              <w:rPr>
                <w:rFonts w:hint="eastAsia"/>
              </w:rPr>
              <w:t>签名控件</w:t>
            </w:r>
          </w:p>
        </w:tc>
        <w:tc>
          <w:tcPr>
            <w:tcW w:w="6442" w:type="dxa"/>
            <w:noWrap w:val="0"/>
            <w:vAlign w:val="center"/>
          </w:tcPr>
          <w:p w14:paraId="3F9E6691">
            <w:pPr>
              <w:rPr>
                <w:rFonts w:hint="default" w:ascii="Calibri" w:hAnsi="Calibri" w:eastAsia="宋体" w:cs="Times New Roman"/>
                <w:kern w:val="2"/>
                <w:sz w:val="21"/>
                <w:szCs w:val="24"/>
                <w:lang w:val="en-US" w:eastAsia="zh-CN" w:bidi="ar-SA"/>
              </w:rPr>
            </w:pPr>
            <w:r>
              <w:rPr>
                <w:rFonts w:hint="eastAsia"/>
              </w:rPr>
              <w:t>添加“签名”控件，控件需要同时支持电脑</w:t>
            </w:r>
            <w:r>
              <w:rPr>
                <w:rFonts w:hint="eastAsia"/>
                <w:lang w:eastAsia="zh-CN"/>
              </w:rPr>
              <w:t>端和</w:t>
            </w:r>
            <w:r>
              <w:rPr>
                <w:rFonts w:hint="eastAsia"/>
              </w:rPr>
              <w:t>移动端。</w:t>
            </w:r>
          </w:p>
        </w:tc>
      </w:tr>
      <w:tr w14:paraId="20B8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4" w:type="dxa"/>
            <w:noWrap w:val="0"/>
            <w:vAlign w:val="center"/>
          </w:tcPr>
          <w:p w14:paraId="147E5792">
            <w:pPr>
              <w:numPr>
                <w:ilvl w:val="0"/>
                <w:numId w:val="0"/>
              </w:numPr>
              <w:jc w:val="center"/>
              <w:rPr>
                <w:rFonts w:hint="default" w:eastAsia="宋体"/>
                <w:vertAlign w:val="baseline"/>
                <w:lang w:val="en-US" w:eastAsia="zh-CN"/>
              </w:rPr>
            </w:pPr>
            <w:r>
              <w:rPr>
                <w:rFonts w:hint="eastAsia"/>
                <w:vertAlign w:val="baseline"/>
                <w:lang w:val="en-US" w:eastAsia="zh-CN"/>
              </w:rPr>
              <w:t>15</w:t>
            </w:r>
          </w:p>
        </w:tc>
        <w:tc>
          <w:tcPr>
            <w:tcW w:w="2439" w:type="dxa"/>
            <w:noWrap w:val="0"/>
            <w:vAlign w:val="center"/>
          </w:tcPr>
          <w:p w14:paraId="51CB556D">
            <w:pPr>
              <w:rPr>
                <w:rFonts w:hint="default" w:ascii="Calibri" w:hAnsi="Calibri" w:eastAsia="宋体" w:cs="Times New Roman"/>
                <w:kern w:val="2"/>
                <w:sz w:val="21"/>
                <w:szCs w:val="24"/>
                <w:lang w:val="en-US" w:eastAsia="zh-CN" w:bidi="ar-SA"/>
              </w:rPr>
            </w:pPr>
            <w:r>
              <w:rPr>
                <w:rFonts w:hint="eastAsia"/>
              </w:rPr>
              <w:t>表单皮肤功能</w:t>
            </w:r>
          </w:p>
        </w:tc>
        <w:tc>
          <w:tcPr>
            <w:tcW w:w="6442" w:type="dxa"/>
            <w:noWrap w:val="0"/>
            <w:vAlign w:val="center"/>
          </w:tcPr>
          <w:p w14:paraId="28019159">
            <w:pPr>
              <w:rPr>
                <w:rFonts w:hint="default" w:ascii="Calibri" w:hAnsi="Calibri" w:eastAsia="宋体" w:cs="Times New Roman"/>
                <w:kern w:val="2"/>
                <w:sz w:val="21"/>
                <w:szCs w:val="24"/>
                <w:lang w:val="en-US" w:eastAsia="zh-CN" w:bidi="ar-SA"/>
              </w:rPr>
            </w:pPr>
            <w:r>
              <w:rPr>
                <w:rFonts w:hint="eastAsia"/>
              </w:rPr>
              <w:t>允许流程内不用步骤单独配置表单样式，配置好的表单样式可以存为模板。</w:t>
            </w:r>
          </w:p>
        </w:tc>
      </w:tr>
      <w:tr w14:paraId="0733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4" w:type="dxa"/>
            <w:noWrap w:val="0"/>
            <w:vAlign w:val="center"/>
          </w:tcPr>
          <w:p w14:paraId="2E7C4657">
            <w:pPr>
              <w:numPr>
                <w:ilvl w:val="0"/>
                <w:numId w:val="0"/>
              </w:numPr>
              <w:jc w:val="center"/>
              <w:rPr>
                <w:rFonts w:hint="default" w:eastAsia="宋体"/>
                <w:vertAlign w:val="baseline"/>
                <w:lang w:val="en-US" w:eastAsia="zh-CN"/>
              </w:rPr>
            </w:pPr>
            <w:r>
              <w:rPr>
                <w:rFonts w:hint="eastAsia"/>
                <w:vertAlign w:val="baseline"/>
                <w:lang w:val="en-US" w:eastAsia="zh-CN"/>
              </w:rPr>
              <w:t>16</w:t>
            </w:r>
          </w:p>
        </w:tc>
        <w:tc>
          <w:tcPr>
            <w:tcW w:w="2439" w:type="dxa"/>
            <w:noWrap w:val="0"/>
            <w:vAlign w:val="center"/>
          </w:tcPr>
          <w:p w14:paraId="4CF4703D">
            <w:pPr>
              <w:rPr>
                <w:rFonts w:hint="default" w:ascii="Calibri" w:hAnsi="Calibri" w:eastAsia="宋体" w:cs="Times New Roman"/>
                <w:kern w:val="2"/>
                <w:sz w:val="21"/>
                <w:szCs w:val="24"/>
                <w:lang w:val="en-US" w:eastAsia="zh-CN" w:bidi="ar-SA"/>
              </w:rPr>
            </w:pPr>
            <w:r>
              <w:rPr>
                <w:rFonts w:hint="eastAsia"/>
              </w:rPr>
              <w:t>文件在线预览</w:t>
            </w:r>
          </w:p>
        </w:tc>
        <w:tc>
          <w:tcPr>
            <w:tcW w:w="6442" w:type="dxa"/>
            <w:noWrap w:val="0"/>
            <w:vAlign w:val="center"/>
          </w:tcPr>
          <w:p w14:paraId="2774AC22">
            <w:pPr>
              <w:rPr>
                <w:rFonts w:hint="eastAsia" w:ascii="Calibri" w:hAnsi="Calibri" w:eastAsia="宋体" w:cs="Times New Roman"/>
                <w:kern w:val="2"/>
                <w:sz w:val="21"/>
                <w:szCs w:val="24"/>
                <w:lang w:val="en-US" w:eastAsia="zh-CN" w:bidi="ar-SA"/>
              </w:rPr>
            </w:pPr>
            <w:r>
              <w:rPr>
                <w:rFonts w:hint="eastAsia"/>
              </w:rPr>
              <w:t>支持常用的word、excel等文件在线预览</w:t>
            </w:r>
            <w:r>
              <w:rPr>
                <w:rFonts w:hint="eastAsia"/>
                <w:lang w:eastAsia="zh-CN"/>
              </w:rPr>
              <w:t>。</w:t>
            </w:r>
          </w:p>
        </w:tc>
      </w:tr>
      <w:tr w14:paraId="4D518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center"/>
          </w:tcPr>
          <w:p w14:paraId="39F8830E">
            <w:pPr>
              <w:numPr>
                <w:ilvl w:val="0"/>
                <w:numId w:val="0"/>
              </w:numPr>
              <w:jc w:val="center"/>
              <w:rPr>
                <w:rFonts w:hint="default" w:eastAsia="宋体"/>
                <w:vertAlign w:val="baseline"/>
                <w:lang w:val="en-US" w:eastAsia="zh-CN"/>
              </w:rPr>
            </w:pPr>
            <w:r>
              <w:rPr>
                <w:rFonts w:hint="eastAsia"/>
                <w:vertAlign w:val="baseline"/>
                <w:lang w:val="en-US" w:eastAsia="zh-CN"/>
              </w:rPr>
              <w:t>17</w:t>
            </w:r>
          </w:p>
        </w:tc>
        <w:tc>
          <w:tcPr>
            <w:tcW w:w="2439" w:type="dxa"/>
            <w:noWrap w:val="0"/>
            <w:vAlign w:val="center"/>
          </w:tcPr>
          <w:p w14:paraId="740A1035">
            <w:pPr>
              <w:rPr>
                <w:rFonts w:hint="default" w:ascii="Calibri" w:hAnsi="Calibri" w:eastAsia="宋体" w:cs="Times New Roman"/>
                <w:kern w:val="2"/>
                <w:sz w:val="21"/>
                <w:szCs w:val="24"/>
                <w:lang w:val="en-US" w:eastAsia="zh-CN" w:bidi="ar-SA"/>
              </w:rPr>
            </w:pPr>
            <w:r>
              <w:rPr>
                <w:rFonts w:hint="eastAsia"/>
              </w:rPr>
              <w:t>wps在线编辑</w:t>
            </w:r>
          </w:p>
        </w:tc>
        <w:tc>
          <w:tcPr>
            <w:tcW w:w="6442" w:type="dxa"/>
            <w:noWrap w:val="0"/>
            <w:vAlign w:val="center"/>
          </w:tcPr>
          <w:p w14:paraId="374C9D6B">
            <w:pPr>
              <w:rPr>
                <w:rFonts w:hint="eastAsia" w:ascii="Calibri" w:hAnsi="Calibri" w:eastAsia="宋体" w:cs="Times New Roman"/>
                <w:kern w:val="2"/>
                <w:sz w:val="21"/>
                <w:szCs w:val="24"/>
                <w:lang w:val="en-US" w:eastAsia="zh-CN" w:bidi="ar-SA"/>
              </w:rPr>
            </w:pPr>
            <w:r>
              <w:rPr>
                <w:rFonts w:hint="eastAsia"/>
                <w:lang w:val="en-US" w:eastAsia="zh-CN"/>
              </w:rPr>
              <w:t>添加</w:t>
            </w:r>
            <w:r>
              <w:rPr>
                <w:rFonts w:hint="eastAsia"/>
              </w:rPr>
              <w:t>wps在线编辑插件</w:t>
            </w:r>
            <w:r>
              <w:rPr>
                <w:rFonts w:hint="eastAsia"/>
                <w:lang w:eastAsia="zh-CN"/>
              </w:rPr>
              <w:t>，</w:t>
            </w:r>
            <w:r>
              <w:rPr>
                <w:rFonts w:hint="eastAsia"/>
                <w:lang w:val="en-US" w:eastAsia="zh-CN"/>
              </w:rPr>
              <w:t>支持</w:t>
            </w:r>
            <w:r>
              <w:rPr>
                <w:rFonts w:hint="eastAsia"/>
              </w:rPr>
              <w:t>wps在线编辑</w:t>
            </w:r>
            <w:r>
              <w:rPr>
                <w:rFonts w:hint="eastAsia"/>
                <w:lang w:eastAsia="zh-CN"/>
              </w:rPr>
              <w:t>。</w:t>
            </w:r>
          </w:p>
        </w:tc>
      </w:tr>
      <w:tr w14:paraId="5488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center"/>
          </w:tcPr>
          <w:p w14:paraId="52B83A59">
            <w:pPr>
              <w:numPr>
                <w:ilvl w:val="0"/>
                <w:numId w:val="0"/>
              </w:numPr>
              <w:jc w:val="center"/>
              <w:rPr>
                <w:rFonts w:hint="default" w:eastAsia="宋体"/>
                <w:vertAlign w:val="baseline"/>
                <w:lang w:val="en-US" w:eastAsia="zh-CN"/>
              </w:rPr>
            </w:pPr>
            <w:r>
              <w:rPr>
                <w:rFonts w:hint="eastAsia"/>
                <w:vertAlign w:val="baseline"/>
                <w:lang w:val="en-US" w:eastAsia="zh-CN"/>
              </w:rPr>
              <w:t>18</w:t>
            </w:r>
          </w:p>
        </w:tc>
        <w:tc>
          <w:tcPr>
            <w:tcW w:w="2439" w:type="dxa"/>
            <w:noWrap w:val="0"/>
            <w:vAlign w:val="center"/>
          </w:tcPr>
          <w:p w14:paraId="1EB0CFDC">
            <w:pPr>
              <w:rPr>
                <w:rFonts w:hint="eastAsia" w:ascii="Calibri" w:hAnsi="Calibri" w:eastAsia="宋体" w:cs="Times New Roman"/>
                <w:kern w:val="2"/>
                <w:sz w:val="21"/>
                <w:szCs w:val="24"/>
                <w:lang w:val="en-US" w:eastAsia="zh-CN" w:bidi="ar-SA"/>
              </w:rPr>
            </w:pPr>
            <w:r>
              <w:rPr>
                <w:rFonts w:hint="eastAsia"/>
              </w:rPr>
              <w:t>电子签章</w:t>
            </w:r>
            <w:r>
              <w:rPr>
                <w:rFonts w:hint="eastAsia"/>
                <w:lang w:val="en-US" w:eastAsia="zh-CN"/>
              </w:rPr>
              <w:t>升级</w:t>
            </w:r>
          </w:p>
        </w:tc>
        <w:tc>
          <w:tcPr>
            <w:tcW w:w="6442" w:type="dxa"/>
            <w:noWrap w:val="0"/>
            <w:vAlign w:val="center"/>
          </w:tcPr>
          <w:p w14:paraId="726FE14D">
            <w:pPr>
              <w:keepNext w:val="0"/>
              <w:keepLines w:val="0"/>
              <w:pageBreakBefore w:val="0"/>
              <w:widowControl w:val="0"/>
              <w:kinsoku/>
              <w:wordWrap/>
              <w:overflowPunct/>
              <w:topLinePunct w:val="0"/>
              <w:bidi w:val="0"/>
              <w:adjustRightInd/>
              <w:snapToGrid/>
              <w:spacing w:line="240" w:lineRule="auto"/>
              <w:ind w:left="0" w:firstLine="0" w:firstLineChars="0"/>
              <w:textAlignment w:val="auto"/>
              <w:rPr>
                <w:rFonts w:hint="default" w:ascii="Calibri" w:hAnsi="Calibri" w:eastAsia="宋体" w:cs="Times New Roman"/>
                <w:kern w:val="2"/>
                <w:sz w:val="21"/>
                <w:szCs w:val="24"/>
                <w:lang w:val="en-US" w:eastAsia="zh-CN" w:bidi="ar-SA"/>
              </w:rPr>
            </w:pPr>
            <w:r>
              <w:rPr>
                <w:rFonts w:hint="eastAsia" w:ascii="宋体" w:hAnsi="宋体" w:eastAsia="宋体" w:cs="宋体"/>
                <w:sz w:val="21"/>
                <w:szCs w:val="21"/>
                <w:lang w:val="en-US" w:eastAsia="zh-CN"/>
              </w:rPr>
              <w:t>添加电子签章控件，控件内上传的文件打印支持手动通过鼠标拖动电子签章定位。</w:t>
            </w:r>
          </w:p>
        </w:tc>
      </w:tr>
      <w:tr w14:paraId="7373A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center"/>
          </w:tcPr>
          <w:p w14:paraId="24872BD7">
            <w:pPr>
              <w:numPr>
                <w:ilvl w:val="0"/>
                <w:numId w:val="0"/>
              </w:numPr>
              <w:jc w:val="center"/>
              <w:rPr>
                <w:rFonts w:hint="default" w:eastAsia="宋体"/>
                <w:vertAlign w:val="baseline"/>
                <w:lang w:val="en-US" w:eastAsia="zh-CN"/>
              </w:rPr>
            </w:pPr>
            <w:r>
              <w:rPr>
                <w:rFonts w:hint="eastAsia"/>
                <w:vertAlign w:val="baseline"/>
                <w:lang w:val="en-US" w:eastAsia="zh-CN"/>
              </w:rPr>
              <w:t>19</w:t>
            </w:r>
          </w:p>
        </w:tc>
        <w:tc>
          <w:tcPr>
            <w:tcW w:w="2439" w:type="dxa"/>
            <w:noWrap w:val="0"/>
            <w:vAlign w:val="center"/>
          </w:tcPr>
          <w:p w14:paraId="7E08A5F6">
            <w:pPr>
              <w:rPr>
                <w:rFonts w:hint="default" w:ascii="Calibri" w:hAnsi="Calibri" w:eastAsia="宋体" w:cs="Times New Roman"/>
                <w:kern w:val="2"/>
                <w:sz w:val="21"/>
                <w:szCs w:val="24"/>
                <w:lang w:val="en-US" w:eastAsia="zh-CN" w:bidi="ar-SA"/>
              </w:rPr>
            </w:pPr>
            <w:r>
              <w:rPr>
                <w:rFonts w:hint="eastAsia"/>
              </w:rPr>
              <w:t>流程绩效</w:t>
            </w:r>
          </w:p>
        </w:tc>
        <w:tc>
          <w:tcPr>
            <w:tcW w:w="6442" w:type="dxa"/>
            <w:noWrap w:val="0"/>
            <w:vAlign w:val="center"/>
          </w:tcPr>
          <w:p w14:paraId="2A04502F">
            <w:pPr>
              <w:rPr>
                <w:rFonts w:hint="default" w:ascii="Calibri" w:hAnsi="Calibri" w:eastAsia="宋体" w:cs="Times New Roman"/>
                <w:kern w:val="2"/>
                <w:sz w:val="21"/>
                <w:szCs w:val="24"/>
                <w:lang w:val="en-US" w:eastAsia="zh-CN" w:bidi="ar-SA"/>
              </w:rPr>
            </w:pPr>
            <w:r>
              <w:rPr>
                <w:rFonts w:hint="eastAsia"/>
                <w:lang w:val="en-US" w:eastAsia="zh-CN"/>
              </w:rPr>
              <w:t>添加流程绩效功能，</w:t>
            </w:r>
            <w:r>
              <w:rPr>
                <w:rFonts w:hint="eastAsia"/>
              </w:rPr>
              <w:t>可以按流程、部门、人员统计流程的审批时长、超时任务等</w:t>
            </w:r>
            <w:r>
              <w:rPr>
                <w:rFonts w:hint="eastAsia"/>
                <w:lang w:val="en-US" w:eastAsia="zh-CN"/>
              </w:rPr>
              <w:t>计算</w:t>
            </w:r>
            <w:r>
              <w:rPr>
                <w:rFonts w:hint="eastAsia"/>
              </w:rPr>
              <w:t>。</w:t>
            </w:r>
          </w:p>
        </w:tc>
      </w:tr>
      <w:tr w14:paraId="0A68C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center"/>
          </w:tcPr>
          <w:p w14:paraId="2979B13C">
            <w:pPr>
              <w:numPr>
                <w:ilvl w:val="0"/>
                <w:numId w:val="0"/>
              </w:numPr>
              <w:jc w:val="center"/>
              <w:rPr>
                <w:rFonts w:hint="default" w:eastAsia="宋体"/>
                <w:vertAlign w:val="baseline"/>
                <w:lang w:val="en-US" w:eastAsia="zh-CN"/>
              </w:rPr>
            </w:pPr>
            <w:r>
              <w:rPr>
                <w:rFonts w:hint="eastAsia"/>
                <w:vertAlign w:val="baseline"/>
                <w:lang w:val="en-US" w:eastAsia="zh-CN"/>
              </w:rPr>
              <w:t>20</w:t>
            </w:r>
          </w:p>
        </w:tc>
        <w:tc>
          <w:tcPr>
            <w:tcW w:w="2439" w:type="dxa"/>
            <w:noWrap w:val="0"/>
            <w:vAlign w:val="center"/>
          </w:tcPr>
          <w:p w14:paraId="541FD5A4">
            <w:pPr>
              <w:rPr>
                <w:rFonts w:hint="default" w:ascii="Calibri" w:hAnsi="Calibri" w:eastAsia="宋体" w:cs="Times New Roman"/>
                <w:kern w:val="2"/>
                <w:sz w:val="21"/>
                <w:szCs w:val="24"/>
                <w:lang w:val="en-US" w:eastAsia="zh-CN" w:bidi="ar-SA"/>
              </w:rPr>
            </w:pPr>
            <w:r>
              <w:rPr>
                <w:rFonts w:hint="eastAsia"/>
              </w:rPr>
              <w:t>接口授权中心</w:t>
            </w:r>
          </w:p>
        </w:tc>
        <w:tc>
          <w:tcPr>
            <w:tcW w:w="6442" w:type="dxa"/>
            <w:noWrap w:val="0"/>
            <w:vAlign w:val="center"/>
          </w:tcPr>
          <w:p w14:paraId="33A6188E">
            <w:pPr>
              <w:rPr>
                <w:rFonts w:hint="eastAsia" w:ascii="Calibri" w:hAnsi="Calibri" w:eastAsia="宋体" w:cs="Times New Roman"/>
                <w:kern w:val="2"/>
                <w:sz w:val="21"/>
                <w:szCs w:val="24"/>
                <w:lang w:val="en-US" w:eastAsia="zh-CN" w:bidi="ar-SA"/>
              </w:rPr>
            </w:pPr>
            <w:r>
              <w:rPr>
                <w:rFonts w:hint="eastAsia"/>
              </w:rPr>
              <w:t>添加接口授权中心，可以在后台授权第三方调用权限</w:t>
            </w:r>
            <w:r>
              <w:rPr>
                <w:rFonts w:hint="eastAsia"/>
                <w:lang w:eastAsia="zh-CN"/>
              </w:rPr>
              <w:t>。</w:t>
            </w:r>
          </w:p>
        </w:tc>
      </w:tr>
      <w:tr w14:paraId="1AEF3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center"/>
          </w:tcPr>
          <w:p w14:paraId="2B6EFBFD">
            <w:pPr>
              <w:numPr>
                <w:ilvl w:val="0"/>
                <w:numId w:val="0"/>
              </w:numPr>
              <w:jc w:val="center"/>
              <w:rPr>
                <w:rFonts w:hint="default" w:eastAsia="宋体"/>
                <w:vertAlign w:val="baseline"/>
                <w:lang w:val="en-US" w:eastAsia="zh-CN"/>
              </w:rPr>
            </w:pPr>
            <w:r>
              <w:rPr>
                <w:rFonts w:hint="eastAsia"/>
                <w:vertAlign w:val="baseline"/>
                <w:lang w:val="en-US" w:eastAsia="zh-CN"/>
              </w:rPr>
              <w:t>21</w:t>
            </w:r>
          </w:p>
        </w:tc>
        <w:tc>
          <w:tcPr>
            <w:tcW w:w="2439" w:type="dxa"/>
            <w:noWrap w:val="0"/>
            <w:vAlign w:val="center"/>
          </w:tcPr>
          <w:p w14:paraId="7F8E58EF">
            <w:pPr>
              <w:rPr>
                <w:rFonts w:hint="default" w:ascii="Calibri" w:hAnsi="Calibri" w:eastAsia="宋体" w:cs="Times New Roman"/>
                <w:kern w:val="2"/>
                <w:sz w:val="21"/>
                <w:szCs w:val="24"/>
                <w:lang w:val="en-US" w:eastAsia="zh-CN" w:bidi="ar-SA"/>
              </w:rPr>
            </w:pPr>
            <w:r>
              <w:rPr>
                <w:rFonts w:hint="eastAsia"/>
                <w:lang w:val="en-US" w:eastAsia="zh-CN"/>
              </w:rPr>
              <w:t>已办转发</w:t>
            </w:r>
          </w:p>
        </w:tc>
        <w:tc>
          <w:tcPr>
            <w:tcW w:w="6442" w:type="dxa"/>
            <w:noWrap w:val="0"/>
            <w:vAlign w:val="center"/>
          </w:tcPr>
          <w:p w14:paraId="22D89F86">
            <w:pPr>
              <w:rPr>
                <w:rFonts w:hint="default" w:ascii="Calibri" w:hAnsi="Calibri" w:eastAsia="宋体" w:cs="Times New Roman"/>
                <w:kern w:val="2"/>
                <w:sz w:val="21"/>
                <w:szCs w:val="24"/>
                <w:lang w:val="en-US" w:eastAsia="zh-CN" w:bidi="ar-SA"/>
              </w:rPr>
            </w:pPr>
            <w:r>
              <w:rPr>
                <w:rFonts w:hint="default"/>
                <w:lang w:val="en-US" w:eastAsia="zh-CN"/>
              </w:rPr>
              <w:t>支持“已办流程”转发功能：用户可将已办流程转发给其他人员查看</w:t>
            </w:r>
            <w:r>
              <w:rPr>
                <w:rFonts w:hint="eastAsia"/>
                <w:lang w:val="en-US" w:eastAsia="zh-CN"/>
              </w:rPr>
              <w:t>。</w:t>
            </w:r>
          </w:p>
        </w:tc>
      </w:tr>
      <w:tr w14:paraId="6238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34" w:type="dxa"/>
            <w:noWrap w:val="0"/>
            <w:vAlign w:val="center"/>
          </w:tcPr>
          <w:p w14:paraId="42D79353">
            <w:pPr>
              <w:numPr>
                <w:ilvl w:val="0"/>
                <w:numId w:val="0"/>
              </w:numPr>
              <w:jc w:val="center"/>
              <w:rPr>
                <w:rFonts w:hint="default" w:eastAsia="宋体"/>
                <w:vertAlign w:val="baseline"/>
                <w:lang w:val="en-US" w:eastAsia="zh-CN"/>
              </w:rPr>
            </w:pPr>
            <w:r>
              <w:rPr>
                <w:rFonts w:hint="eastAsia"/>
                <w:vertAlign w:val="baseline"/>
                <w:lang w:val="en-US" w:eastAsia="zh-CN"/>
              </w:rPr>
              <w:t>22</w:t>
            </w:r>
          </w:p>
        </w:tc>
        <w:tc>
          <w:tcPr>
            <w:tcW w:w="2439" w:type="dxa"/>
            <w:noWrap w:val="0"/>
            <w:vAlign w:val="center"/>
          </w:tcPr>
          <w:p w14:paraId="7A006A4D">
            <w:pPr>
              <w:rPr>
                <w:rFonts w:hint="default" w:ascii="Calibri" w:hAnsi="Calibri" w:eastAsia="宋体" w:cs="Times New Roman"/>
                <w:kern w:val="2"/>
                <w:sz w:val="21"/>
                <w:szCs w:val="24"/>
                <w:lang w:val="en-US" w:eastAsia="zh-CN" w:bidi="ar-SA"/>
              </w:rPr>
            </w:pPr>
            <w:r>
              <w:rPr>
                <w:rFonts w:hint="eastAsia"/>
                <w:lang w:val="en-US" w:eastAsia="zh-CN"/>
              </w:rPr>
              <w:t>任意步骤退回</w:t>
            </w:r>
          </w:p>
        </w:tc>
        <w:tc>
          <w:tcPr>
            <w:tcW w:w="6442" w:type="dxa"/>
            <w:noWrap w:val="0"/>
            <w:vAlign w:val="center"/>
          </w:tcPr>
          <w:p w14:paraId="0B47997E">
            <w:pPr>
              <w:rPr>
                <w:rFonts w:hint="default" w:ascii="Calibri" w:hAnsi="Calibri" w:eastAsia="宋体" w:cs="Times New Roman"/>
                <w:kern w:val="2"/>
                <w:sz w:val="21"/>
                <w:szCs w:val="24"/>
                <w:lang w:val="en-US" w:eastAsia="zh-CN" w:bidi="ar-SA"/>
              </w:rPr>
            </w:pPr>
            <w:r>
              <w:rPr>
                <w:rFonts w:hint="default"/>
                <w:lang w:val="en-US" w:eastAsia="zh-CN"/>
              </w:rPr>
              <w:t>流程节点审批配置中的退回策略增加“退回至前任意步骤”。配置该策略后，审批人在点退回按钮，出现流程图，可选择流程图中已完成的任意一步骤进行退回操作。任意退回功能可在全局配置中设置</w:t>
            </w:r>
            <w:r>
              <w:rPr>
                <w:rFonts w:hint="eastAsia"/>
                <w:lang w:val="en-US" w:eastAsia="zh-CN"/>
              </w:rPr>
              <w:t>。</w:t>
            </w:r>
          </w:p>
        </w:tc>
      </w:tr>
      <w:tr w14:paraId="6A9FF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center"/>
          </w:tcPr>
          <w:p w14:paraId="0DC8D721">
            <w:pPr>
              <w:numPr>
                <w:ilvl w:val="0"/>
                <w:numId w:val="0"/>
              </w:numPr>
              <w:jc w:val="center"/>
              <w:rPr>
                <w:rFonts w:hint="default" w:eastAsia="宋体"/>
                <w:vertAlign w:val="baseline"/>
                <w:lang w:val="en-US" w:eastAsia="zh-CN"/>
              </w:rPr>
            </w:pPr>
            <w:r>
              <w:rPr>
                <w:rFonts w:hint="eastAsia"/>
                <w:vertAlign w:val="baseline"/>
                <w:lang w:val="en-US" w:eastAsia="zh-CN"/>
              </w:rPr>
              <w:t>23</w:t>
            </w:r>
          </w:p>
        </w:tc>
        <w:tc>
          <w:tcPr>
            <w:tcW w:w="2439" w:type="dxa"/>
            <w:noWrap w:val="0"/>
            <w:vAlign w:val="center"/>
          </w:tcPr>
          <w:p w14:paraId="65509E5F">
            <w:pPr>
              <w:rPr>
                <w:rFonts w:hint="default"/>
                <w:lang w:val="en-US" w:eastAsia="zh-CN"/>
              </w:rPr>
            </w:pPr>
            <w:r>
              <w:rPr>
                <w:rFonts w:hint="eastAsia"/>
                <w:lang w:val="en-US" w:eastAsia="zh-CN"/>
              </w:rPr>
              <w:t>流程概览图升级</w:t>
            </w:r>
          </w:p>
        </w:tc>
        <w:tc>
          <w:tcPr>
            <w:tcW w:w="6442" w:type="dxa"/>
            <w:noWrap w:val="0"/>
            <w:vAlign w:val="center"/>
          </w:tcPr>
          <w:p w14:paraId="64908D91">
            <w:pPr>
              <w:rPr>
                <w:rFonts w:hint="default"/>
                <w:lang w:val="en-US" w:eastAsia="zh-CN"/>
              </w:rPr>
            </w:pPr>
            <w:r>
              <w:rPr>
                <w:rFonts w:hint="eastAsia" w:ascii="宋体" w:hAnsi="宋体" w:eastAsia="宋体" w:cs="宋体"/>
                <w:spacing w:val="0"/>
                <w:kern w:val="2"/>
                <w:sz w:val="21"/>
                <w:szCs w:val="21"/>
                <w:lang w:val="en-US" w:eastAsia="zh-CN" w:bidi="ar-SA"/>
              </w:rPr>
              <w:t>对于步骤很多的流程，可以配置多个审批节点为一个步骤，查看流程监控时可以按步骤进行预览。并且可以设置同时显示流程图与概览图，或者只显示流程图或者概览图。</w:t>
            </w:r>
          </w:p>
        </w:tc>
      </w:tr>
      <w:tr w14:paraId="1977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center"/>
          </w:tcPr>
          <w:p w14:paraId="2432D77E">
            <w:pPr>
              <w:numPr>
                <w:ilvl w:val="0"/>
                <w:numId w:val="0"/>
              </w:numPr>
              <w:jc w:val="center"/>
              <w:rPr>
                <w:rFonts w:hint="default" w:eastAsia="宋体"/>
                <w:vertAlign w:val="baseline"/>
                <w:lang w:val="en-US" w:eastAsia="zh-CN"/>
              </w:rPr>
            </w:pPr>
            <w:r>
              <w:rPr>
                <w:rFonts w:hint="eastAsia"/>
                <w:vertAlign w:val="baseline"/>
                <w:lang w:val="en-US" w:eastAsia="zh-CN"/>
              </w:rPr>
              <w:t>24</w:t>
            </w:r>
          </w:p>
        </w:tc>
        <w:tc>
          <w:tcPr>
            <w:tcW w:w="2439" w:type="dxa"/>
            <w:noWrap w:val="0"/>
            <w:vAlign w:val="center"/>
          </w:tcPr>
          <w:p w14:paraId="4795BB89">
            <w:pPr>
              <w:rPr>
                <w:rFonts w:hint="default"/>
                <w:lang w:val="en-US" w:eastAsia="zh-CN"/>
              </w:rPr>
            </w:pPr>
            <w:r>
              <w:rPr>
                <w:rFonts w:hint="eastAsia"/>
                <w:lang w:val="en-US" w:eastAsia="zh-CN"/>
              </w:rPr>
              <w:t>流程图缩放</w:t>
            </w:r>
          </w:p>
        </w:tc>
        <w:tc>
          <w:tcPr>
            <w:tcW w:w="6442" w:type="dxa"/>
            <w:noWrap w:val="0"/>
            <w:vAlign w:val="center"/>
          </w:tcPr>
          <w:p w14:paraId="70027F42">
            <w:pPr>
              <w:rPr>
                <w:rFonts w:hint="default" w:ascii="Calibri" w:hAnsi="Calibri" w:eastAsia="宋体" w:cs="Times New Roman"/>
                <w:kern w:val="2"/>
                <w:sz w:val="21"/>
                <w:szCs w:val="24"/>
                <w:lang w:val="en-US" w:eastAsia="zh-CN" w:bidi="ar-SA"/>
              </w:rPr>
            </w:pPr>
            <w:r>
              <w:rPr>
                <w:rFonts w:hint="default"/>
                <w:lang w:val="en-US" w:eastAsia="zh-CN"/>
              </w:rPr>
              <w:t>支持流程图缩放</w:t>
            </w:r>
            <w:r>
              <w:rPr>
                <w:rFonts w:hint="eastAsia"/>
                <w:lang w:val="en-US" w:eastAsia="zh-CN"/>
              </w:rPr>
              <w:t>。</w:t>
            </w:r>
          </w:p>
        </w:tc>
      </w:tr>
      <w:tr w14:paraId="0435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34" w:type="dxa"/>
            <w:noWrap w:val="0"/>
            <w:vAlign w:val="center"/>
          </w:tcPr>
          <w:p w14:paraId="7AAFE2E7">
            <w:pPr>
              <w:numPr>
                <w:ilvl w:val="0"/>
                <w:numId w:val="0"/>
              </w:numPr>
              <w:jc w:val="center"/>
              <w:rPr>
                <w:rFonts w:hint="default" w:eastAsia="宋体"/>
                <w:vertAlign w:val="baseline"/>
                <w:lang w:val="en-US" w:eastAsia="zh-CN"/>
              </w:rPr>
            </w:pPr>
            <w:r>
              <w:rPr>
                <w:rFonts w:hint="eastAsia"/>
                <w:vertAlign w:val="baseline"/>
                <w:lang w:val="en-US" w:eastAsia="zh-CN"/>
              </w:rPr>
              <w:t>25</w:t>
            </w:r>
          </w:p>
        </w:tc>
        <w:tc>
          <w:tcPr>
            <w:tcW w:w="2439" w:type="dxa"/>
            <w:noWrap w:val="0"/>
            <w:vAlign w:val="center"/>
          </w:tcPr>
          <w:p w14:paraId="077EE9F0">
            <w:pPr>
              <w:rPr>
                <w:rFonts w:hint="default"/>
                <w:lang w:val="en-US" w:eastAsia="zh-CN"/>
              </w:rPr>
            </w:pPr>
            <w:r>
              <w:rPr>
                <w:rFonts w:hint="eastAsia"/>
                <w:lang w:val="en-US" w:eastAsia="zh-CN"/>
              </w:rPr>
              <w:t>处理人管理</w:t>
            </w:r>
          </w:p>
        </w:tc>
        <w:tc>
          <w:tcPr>
            <w:tcW w:w="6442" w:type="dxa"/>
            <w:noWrap w:val="0"/>
            <w:vAlign w:val="center"/>
          </w:tcPr>
          <w:p w14:paraId="1C71DC57">
            <w:pPr>
              <w:rPr>
                <w:rFonts w:hint="default" w:ascii="Calibri" w:hAnsi="Calibri" w:eastAsia="宋体" w:cs="Times New Roman"/>
                <w:kern w:val="2"/>
                <w:sz w:val="21"/>
                <w:szCs w:val="24"/>
                <w:lang w:val="en-US" w:eastAsia="zh-CN" w:bidi="ar-SA"/>
              </w:rPr>
            </w:pPr>
            <w:r>
              <w:rPr>
                <w:rFonts w:hint="eastAsia"/>
                <w:lang w:val="en-US" w:eastAsia="zh-CN"/>
              </w:rPr>
              <w:t>汇总展示流程各步骤相关处理人信息。可按岗位、用户、角色等搜索对应流程步骤。</w:t>
            </w:r>
          </w:p>
        </w:tc>
      </w:tr>
      <w:tr w14:paraId="0038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center"/>
          </w:tcPr>
          <w:p w14:paraId="12F7E3FA">
            <w:pPr>
              <w:numPr>
                <w:ilvl w:val="0"/>
                <w:numId w:val="0"/>
              </w:numPr>
              <w:jc w:val="center"/>
              <w:rPr>
                <w:rFonts w:hint="default" w:eastAsia="宋体"/>
                <w:vertAlign w:val="baseline"/>
                <w:lang w:val="en-US" w:eastAsia="zh-CN"/>
              </w:rPr>
            </w:pPr>
            <w:r>
              <w:rPr>
                <w:rFonts w:hint="eastAsia"/>
                <w:vertAlign w:val="baseline"/>
                <w:lang w:val="en-US" w:eastAsia="zh-CN"/>
              </w:rPr>
              <w:t>26</w:t>
            </w:r>
          </w:p>
        </w:tc>
        <w:tc>
          <w:tcPr>
            <w:tcW w:w="2439" w:type="dxa"/>
            <w:noWrap w:val="0"/>
            <w:vAlign w:val="top"/>
          </w:tcPr>
          <w:p w14:paraId="5655FC2A">
            <w:pPr>
              <w:rPr>
                <w:rFonts w:hint="default"/>
                <w:lang w:val="en-US" w:eastAsia="zh-CN"/>
              </w:rPr>
            </w:pPr>
            <w:r>
              <w:rPr>
                <w:rFonts w:hint="eastAsia" w:ascii="宋体" w:hAnsi="宋体" w:cs="宋体"/>
                <w:b w:val="0"/>
                <w:bCs w:val="0"/>
                <w:szCs w:val="21"/>
                <w:highlight w:val="none"/>
              </w:rPr>
              <w:t>★</w:t>
            </w:r>
            <w:r>
              <w:rPr>
                <w:rFonts w:hint="eastAsia"/>
                <w:lang w:val="en-US" w:eastAsia="zh-CN"/>
              </w:rPr>
              <w:t>配置消息模板</w:t>
            </w:r>
          </w:p>
        </w:tc>
        <w:tc>
          <w:tcPr>
            <w:tcW w:w="6442" w:type="dxa"/>
            <w:noWrap w:val="0"/>
            <w:vAlign w:val="top"/>
          </w:tcPr>
          <w:p w14:paraId="6C85DC2F">
            <w:pPr>
              <w:numPr>
                <w:ilvl w:val="0"/>
                <w:numId w:val="0"/>
              </w:numPr>
              <w:rPr>
                <w:rFonts w:hint="eastAsia" w:eastAsia="宋体"/>
                <w:vertAlign w:val="baseline"/>
                <w:lang w:val="en-US" w:eastAsia="zh-CN"/>
              </w:rPr>
            </w:pPr>
            <w:r>
              <w:rPr>
                <w:rFonts w:hint="eastAsia" w:ascii="宋体" w:hAnsi="宋体" w:eastAsia="宋体" w:cs="宋体"/>
                <w:kern w:val="0"/>
                <w:sz w:val="21"/>
                <w:szCs w:val="21"/>
                <w:highlight w:val="none"/>
                <w:lang w:val="en-US" w:eastAsia="zh-CN" w:bidi="ar"/>
              </w:rPr>
              <w:t>支持</w:t>
            </w:r>
            <w:r>
              <w:rPr>
                <w:rFonts w:hint="eastAsia" w:ascii="宋体" w:hAnsi="宋体" w:eastAsia="宋体" w:cs="宋体"/>
                <w:kern w:val="0"/>
                <w:sz w:val="21"/>
                <w:szCs w:val="21"/>
                <w:highlight w:val="none"/>
                <w:lang w:bidi="ar"/>
              </w:rPr>
              <w:t>配置流程取消、加签、退回、待办、抄送、超时、指派、指派收回、加签收回、催办、完成实例提醒、实例终止提醒、实例停滞提醒的消息模板。</w:t>
            </w:r>
          </w:p>
        </w:tc>
      </w:tr>
      <w:tr w14:paraId="7EBC1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center"/>
          </w:tcPr>
          <w:p w14:paraId="42D3D164">
            <w:pPr>
              <w:numPr>
                <w:ilvl w:val="0"/>
                <w:numId w:val="0"/>
              </w:numPr>
              <w:jc w:val="center"/>
              <w:rPr>
                <w:rFonts w:hint="eastAsia"/>
                <w:vertAlign w:val="baseline"/>
                <w:lang w:val="en-US" w:eastAsia="zh-CN"/>
              </w:rPr>
            </w:pPr>
          </w:p>
          <w:p w14:paraId="79719ECE">
            <w:pPr>
              <w:numPr>
                <w:ilvl w:val="0"/>
                <w:numId w:val="0"/>
              </w:numPr>
              <w:jc w:val="center"/>
              <w:rPr>
                <w:rFonts w:hint="eastAsia"/>
                <w:vertAlign w:val="baseline"/>
                <w:lang w:val="en-US" w:eastAsia="zh-CN"/>
              </w:rPr>
            </w:pPr>
          </w:p>
          <w:p w14:paraId="5965872C">
            <w:pPr>
              <w:numPr>
                <w:ilvl w:val="0"/>
                <w:numId w:val="0"/>
              </w:numPr>
              <w:jc w:val="center"/>
              <w:rPr>
                <w:rFonts w:hint="eastAsia"/>
                <w:vertAlign w:val="baseline"/>
                <w:lang w:val="en-US" w:eastAsia="zh-CN"/>
              </w:rPr>
            </w:pPr>
          </w:p>
          <w:p w14:paraId="14A1DE24">
            <w:pPr>
              <w:numPr>
                <w:ilvl w:val="0"/>
                <w:numId w:val="0"/>
              </w:numPr>
              <w:jc w:val="center"/>
              <w:rPr>
                <w:rFonts w:hint="eastAsia"/>
                <w:vertAlign w:val="baseline"/>
                <w:lang w:val="en-US" w:eastAsia="zh-CN"/>
              </w:rPr>
            </w:pPr>
          </w:p>
          <w:p w14:paraId="5C3ABFD4">
            <w:pPr>
              <w:numPr>
                <w:ilvl w:val="0"/>
                <w:numId w:val="0"/>
              </w:numPr>
              <w:jc w:val="center"/>
              <w:rPr>
                <w:rFonts w:hint="eastAsia"/>
                <w:vertAlign w:val="baseline"/>
                <w:lang w:val="en-US" w:eastAsia="zh-CN"/>
              </w:rPr>
            </w:pPr>
          </w:p>
          <w:p w14:paraId="165D99AB">
            <w:pPr>
              <w:numPr>
                <w:ilvl w:val="0"/>
                <w:numId w:val="0"/>
              </w:numPr>
              <w:jc w:val="center"/>
              <w:rPr>
                <w:rFonts w:hint="eastAsia"/>
                <w:vertAlign w:val="baseline"/>
                <w:lang w:val="en-US" w:eastAsia="zh-CN"/>
              </w:rPr>
            </w:pPr>
          </w:p>
          <w:p w14:paraId="5D16A04E">
            <w:pPr>
              <w:numPr>
                <w:ilvl w:val="0"/>
                <w:numId w:val="0"/>
              </w:numPr>
              <w:jc w:val="center"/>
              <w:rPr>
                <w:rFonts w:hint="default" w:eastAsia="宋体"/>
                <w:vertAlign w:val="baseline"/>
                <w:lang w:val="en-US" w:eastAsia="zh-CN"/>
              </w:rPr>
            </w:pPr>
            <w:r>
              <w:rPr>
                <w:rFonts w:hint="eastAsia"/>
                <w:vertAlign w:val="baseline"/>
                <w:lang w:val="en-US" w:eastAsia="zh-CN"/>
              </w:rPr>
              <w:t>27</w:t>
            </w:r>
          </w:p>
        </w:tc>
        <w:tc>
          <w:tcPr>
            <w:tcW w:w="2439" w:type="dxa"/>
            <w:noWrap w:val="0"/>
            <w:vAlign w:val="top"/>
          </w:tcPr>
          <w:p w14:paraId="4116C51F">
            <w:pPr>
              <w:numPr>
                <w:ilvl w:val="0"/>
                <w:numId w:val="0"/>
              </w:numPr>
              <w:rPr>
                <w:rFonts w:hint="eastAsia"/>
                <w:vertAlign w:val="baseline"/>
                <w:lang w:val="en-US" w:eastAsia="zh-CN"/>
              </w:rPr>
            </w:pPr>
          </w:p>
          <w:p w14:paraId="27639B58">
            <w:pPr>
              <w:numPr>
                <w:ilvl w:val="0"/>
                <w:numId w:val="0"/>
              </w:numPr>
              <w:rPr>
                <w:rFonts w:hint="eastAsia"/>
                <w:vertAlign w:val="baseline"/>
                <w:lang w:val="en-US" w:eastAsia="zh-CN"/>
              </w:rPr>
            </w:pPr>
          </w:p>
          <w:p w14:paraId="50C8DDC8">
            <w:pPr>
              <w:numPr>
                <w:ilvl w:val="0"/>
                <w:numId w:val="0"/>
              </w:numPr>
              <w:rPr>
                <w:rFonts w:hint="eastAsia"/>
                <w:vertAlign w:val="baseline"/>
                <w:lang w:val="en-US" w:eastAsia="zh-CN"/>
              </w:rPr>
            </w:pPr>
          </w:p>
          <w:p w14:paraId="083B8A3B">
            <w:pPr>
              <w:numPr>
                <w:ilvl w:val="0"/>
                <w:numId w:val="0"/>
              </w:numPr>
              <w:rPr>
                <w:rFonts w:hint="eastAsia"/>
                <w:vertAlign w:val="baseline"/>
                <w:lang w:val="en-US" w:eastAsia="zh-CN"/>
              </w:rPr>
            </w:pPr>
          </w:p>
          <w:p w14:paraId="3E3011A9">
            <w:pPr>
              <w:numPr>
                <w:ilvl w:val="0"/>
                <w:numId w:val="0"/>
              </w:numPr>
              <w:rPr>
                <w:rFonts w:hint="eastAsia"/>
                <w:vertAlign w:val="baseline"/>
                <w:lang w:val="en-US" w:eastAsia="zh-CN"/>
              </w:rPr>
            </w:pPr>
          </w:p>
          <w:p w14:paraId="372BF594">
            <w:pPr>
              <w:numPr>
                <w:ilvl w:val="0"/>
                <w:numId w:val="0"/>
              </w:numPr>
              <w:rPr>
                <w:rFonts w:hint="eastAsia"/>
                <w:vertAlign w:val="baseline"/>
                <w:lang w:val="en-US" w:eastAsia="zh-CN"/>
              </w:rPr>
            </w:pPr>
          </w:p>
          <w:p w14:paraId="0514EE43">
            <w:pPr>
              <w:numPr>
                <w:ilvl w:val="0"/>
                <w:numId w:val="0"/>
              </w:numPr>
              <w:rPr>
                <w:rFonts w:hint="default" w:eastAsia="宋体"/>
                <w:vertAlign w:val="baseline"/>
                <w:lang w:val="en-US" w:eastAsia="zh-CN"/>
              </w:rPr>
            </w:pPr>
            <w:r>
              <w:rPr>
                <w:rFonts w:hint="eastAsia"/>
                <w:vertAlign w:val="baseline"/>
                <w:lang w:val="en-US" w:eastAsia="zh-CN"/>
              </w:rPr>
              <w:t>函数计算升级</w:t>
            </w:r>
          </w:p>
        </w:tc>
        <w:tc>
          <w:tcPr>
            <w:tcW w:w="6442" w:type="dxa"/>
            <w:noWrap w:val="0"/>
            <w:vAlign w:val="top"/>
          </w:tcPr>
          <w:p w14:paraId="3D837663">
            <w:pPr>
              <w:widowControl/>
              <w:spacing w:line="240" w:lineRule="auto"/>
              <w:jc w:val="left"/>
              <w:textAlignment w:val="center"/>
              <w:rPr>
                <w:rFonts w:hint="eastAsia" w:ascii="宋体" w:hAnsi="宋体" w:eastAsia="宋体" w:cs="宋体"/>
                <w:spacing w:val="0"/>
                <w:kern w:val="2"/>
                <w:sz w:val="21"/>
                <w:szCs w:val="21"/>
                <w:lang w:val="en-US" w:eastAsia="zh-CN" w:bidi="ar-SA"/>
              </w:rPr>
            </w:pPr>
            <w:r>
              <w:rPr>
                <w:rFonts w:hint="eastAsia"/>
                <w:vertAlign w:val="baseline"/>
                <w:lang w:val="en-US" w:eastAsia="zh-CN"/>
              </w:rPr>
              <w:t>支持以下函数：</w:t>
            </w:r>
            <w:r>
              <w:rPr>
                <w:rFonts w:hint="eastAsia" w:ascii="宋体" w:hAnsi="宋体" w:eastAsia="宋体" w:cs="宋体"/>
                <w:spacing w:val="0"/>
                <w:kern w:val="2"/>
                <w:sz w:val="21"/>
                <w:szCs w:val="21"/>
                <w:lang w:val="en-US" w:eastAsia="zh-CN" w:bidi="ar-SA"/>
              </w:rPr>
              <w:t>a逻辑类计算函数：需要支持相等、不等、大于、小于、大于等于、小于等于、并且、or 或、异或、if条件判断、是否为空等逻辑计算函数。</w:t>
            </w:r>
          </w:p>
          <w:p w14:paraId="72415C50">
            <w:pPr>
              <w:widowControl/>
              <w:spacing w:line="240" w:lineRule="auto"/>
              <w:jc w:val="left"/>
              <w:textAlignment w:val="center"/>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b文本类函数：支持截取、长度计算、字母转大写、字母转小写、字符替换、查找文本、分割、去空格、判断是否为空等文本计算函数。</w:t>
            </w:r>
          </w:p>
          <w:p w14:paraId="2EC1AED4">
            <w:pPr>
              <w:widowControl/>
              <w:spacing w:line="240" w:lineRule="auto"/>
              <w:jc w:val="left"/>
              <w:textAlignment w:val="center"/>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c数学类函数：支持取最大值、取最小值、取平均值、取绝对值、求和、向下取整、乘幂、平方根、格式化人民币、大小判断、加减乘除等数学计算函数。</w:t>
            </w:r>
          </w:p>
          <w:p w14:paraId="7E2A71FE">
            <w:pPr>
              <w:pStyle w:val="2"/>
              <w:ind w:left="0" w:leftChars="0" w:firstLine="0" w:firstLineChars="0"/>
              <w:rPr>
                <w:rFonts w:hint="default" w:eastAsia="宋体"/>
                <w:vertAlign w:val="baseline"/>
                <w:lang w:val="en-US" w:eastAsia="zh-CN"/>
              </w:rPr>
            </w:pPr>
            <w:r>
              <w:rPr>
                <w:rFonts w:hint="eastAsia" w:ascii="宋体" w:hAnsi="宋体" w:eastAsia="宋体" w:cs="宋体"/>
                <w:spacing w:val="0"/>
                <w:kern w:val="2"/>
                <w:sz w:val="21"/>
                <w:szCs w:val="21"/>
                <w:lang w:val="en-US" w:eastAsia="zh-CN" w:bidi="ar-SA"/>
              </w:rPr>
              <w:t>d时间类函数：支持获取日期的年月日时分秒数、计算两个日期之间的天数、将指定日期加/减指定天数、返回特定日期的周数、一个指定日期在当年的周数、获取日期所在年份的首个日期、获取日期所在年份的最后一个日期、比较两个时间的大小等时间计算函数。</w:t>
            </w:r>
          </w:p>
        </w:tc>
      </w:tr>
      <w:tr w14:paraId="4B10B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center"/>
          </w:tcPr>
          <w:p w14:paraId="38275D0F">
            <w:pPr>
              <w:numPr>
                <w:ilvl w:val="0"/>
                <w:numId w:val="0"/>
              </w:numPr>
              <w:jc w:val="center"/>
              <w:rPr>
                <w:rFonts w:hint="eastAsia"/>
                <w:vertAlign w:val="baseline"/>
                <w:lang w:val="en-US" w:eastAsia="zh-CN"/>
              </w:rPr>
            </w:pPr>
          </w:p>
          <w:p w14:paraId="5C59E410">
            <w:pPr>
              <w:numPr>
                <w:ilvl w:val="0"/>
                <w:numId w:val="0"/>
              </w:numPr>
              <w:jc w:val="center"/>
              <w:rPr>
                <w:rFonts w:hint="eastAsia"/>
                <w:vertAlign w:val="baseline"/>
                <w:lang w:val="en-US" w:eastAsia="zh-CN"/>
              </w:rPr>
            </w:pPr>
          </w:p>
          <w:p w14:paraId="08FB5D1E">
            <w:pPr>
              <w:numPr>
                <w:ilvl w:val="0"/>
                <w:numId w:val="0"/>
              </w:numPr>
              <w:jc w:val="center"/>
              <w:rPr>
                <w:rFonts w:hint="eastAsia"/>
                <w:vertAlign w:val="baseline"/>
                <w:lang w:val="en-US" w:eastAsia="zh-CN"/>
              </w:rPr>
            </w:pPr>
          </w:p>
          <w:p w14:paraId="393C6060">
            <w:pPr>
              <w:numPr>
                <w:ilvl w:val="0"/>
                <w:numId w:val="0"/>
              </w:numPr>
              <w:jc w:val="center"/>
              <w:rPr>
                <w:rFonts w:hint="eastAsia"/>
                <w:vertAlign w:val="baseline"/>
                <w:lang w:val="en-US" w:eastAsia="zh-CN"/>
              </w:rPr>
            </w:pPr>
          </w:p>
          <w:p w14:paraId="117F462C">
            <w:pPr>
              <w:numPr>
                <w:ilvl w:val="0"/>
                <w:numId w:val="0"/>
              </w:numPr>
              <w:jc w:val="center"/>
              <w:rPr>
                <w:rFonts w:hint="eastAsia"/>
                <w:vertAlign w:val="baseline"/>
                <w:lang w:val="en-US" w:eastAsia="zh-CN"/>
              </w:rPr>
            </w:pPr>
          </w:p>
          <w:p w14:paraId="7F176C96">
            <w:pPr>
              <w:numPr>
                <w:ilvl w:val="0"/>
                <w:numId w:val="0"/>
              </w:numPr>
              <w:jc w:val="center"/>
              <w:rPr>
                <w:rFonts w:hint="eastAsia"/>
                <w:vertAlign w:val="baseline"/>
                <w:lang w:val="en-US" w:eastAsia="zh-CN"/>
              </w:rPr>
            </w:pPr>
          </w:p>
          <w:p w14:paraId="368458DE">
            <w:pPr>
              <w:numPr>
                <w:ilvl w:val="0"/>
                <w:numId w:val="0"/>
              </w:numPr>
              <w:jc w:val="center"/>
              <w:rPr>
                <w:rFonts w:hint="eastAsia"/>
                <w:vertAlign w:val="baseline"/>
                <w:lang w:val="en-US" w:eastAsia="zh-CN"/>
              </w:rPr>
            </w:pPr>
          </w:p>
          <w:p w14:paraId="3B00E4B0">
            <w:pPr>
              <w:numPr>
                <w:ilvl w:val="0"/>
                <w:numId w:val="0"/>
              </w:numPr>
              <w:jc w:val="center"/>
              <w:rPr>
                <w:rFonts w:hint="eastAsia"/>
                <w:vertAlign w:val="baseline"/>
                <w:lang w:val="en-US" w:eastAsia="zh-CN"/>
              </w:rPr>
            </w:pPr>
          </w:p>
          <w:p w14:paraId="68E9F4B7">
            <w:pPr>
              <w:numPr>
                <w:ilvl w:val="0"/>
                <w:numId w:val="0"/>
              </w:numPr>
              <w:jc w:val="center"/>
              <w:rPr>
                <w:rFonts w:hint="eastAsia"/>
                <w:vertAlign w:val="baseline"/>
                <w:lang w:val="en-US" w:eastAsia="zh-CN"/>
              </w:rPr>
            </w:pPr>
          </w:p>
          <w:p w14:paraId="0A5F6C30">
            <w:pPr>
              <w:numPr>
                <w:ilvl w:val="0"/>
                <w:numId w:val="0"/>
              </w:numPr>
              <w:jc w:val="center"/>
              <w:rPr>
                <w:rFonts w:hint="eastAsia"/>
                <w:vertAlign w:val="baseline"/>
                <w:lang w:val="en-US" w:eastAsia="zh-CN"/>
              </w:rPr>
            </w:pPr>
          </w:p>
          <w:p w14:paraId="5AF88DBE">
            <w:pPr>
              <w:numPr>
                <w:ilvl w:val="0"/>
                <w:numId w:val="0"/>
              </w:numPr>
              <w:jc w:val="center"/>
              <w:rPr>
                <w:rFonts w:hint="default" w:eastAsia="宋体"/>
                <w:vertAlign w:val="baseline"/>
                <w:lang w:val="en-US" w:eastAsia="zh-CN"/>
              </w:rPr>
            </w:pPr>
            <w:r>
              <w:rPr>
                <w:rFonts w:hint="eastAsia"/>
                <w:vertAlign w:val="baseline"/>
                <w:lang w:val="en-US" w:eastAsia="zh-CN"/>
              </w:rPr>
              <w:t>28</w:t>
            </w:r>
          </w:p>
        </w:tc>
        <w:tc>
          <w:tcPr>
            <w:tcW w:w="2439" w:type="dxa"/>
            <w:noWrap w:val="0"/>
            <w:vAlign w:val="top"/>
          </w:tcPr>
          <w:p w14:paraId="3945D86D">
            <w:pPr>
              <w:numPr>
                <w:ilvl w:val="0"/>
                <w:numId w:val="0"/>
              </w:numPr>
              <w:rPr>
                <w:rFonts w:hint="eastAsia" w:cs="Times New Roman"/>
                <w:vertAlign w:val="baseline"/>
                <w:lang w:val="en-US" w:eastAsia="zh-CN"/>
              </w:rPr>
            </w:pPr>
          </w:p>
          <w:p w14:paraId="7D6C6ACB">
            <w:pPr>
              <w:numPr>
                <w:ilvl w:val="0"/>
                <w:numId w:val="0"/>
              </w:numPr>
              <w:rPr>
                <w:rFonts w:hint="eastAsia" w:cs="Times New Roman"/>
                <w:vertAlign w:val="baseline"/>
                <w:lang w:val="en-US" w:eastAsia="zh-CN"/>
              </w:rPr>
            </w:pPr>
          </w:p>
          <w:p w14:paraId="536AF369">
            <w:pPr>
              <w:numPr>
                <w:ilvl w:val="0"/>
                <w:numId w:val="0"/>
              </w:numPr>
              <w:rPr>
                <w:rFonts w:hint="eastAsia" w:cs="Times New Roman"/>
                <w:vertAlign w:val="baseline"/>
                <w:lang w:val="en-US" w:eastAsia="zh-CN"/>
              </w:rPr>
            </w:pPr>
          </w:p>
          <w:p w14:paraId="01029A12">
            <w:pPr>
              <w:numPr>
                <w:ilvl w:val="0"/>
                <w:numId w:val="0"/>
              </w:numPr>
              <w:rPr>
                <w:rFonts w:hint="eastAsia" w:cs="Times New Roman"/>
                <w:vertAlign w:val="baseline"/>
                <w:lang w:val="en-US" w:eastAsia="zh-CN"/>
              </w:rPr>
            </w:pPr>
          </w:p>
          <w:p w14:paraId="2A9F5592">
            <w:pPr>
              <w:numPr>
                <w:ilvl w:val="0"/>
                <w:numId w:val="0"/>
              </w:numPr>
              <w:rPr>
                <w:rFonts w:hint="eastAsia" w:cs="Times New Roman"/>
                <w:vertAlign w:val="baseline"/>
                <w:lang w:val="en-US" w:eastAsia="zh-CN"/>
              </w:rPr>
            </w:pPr>
          </w:p>
          <w:p w14:paraId="5FFD39FA">
            <w:pPr>
              <w:numPr>
                <w:ilvl w:val="0"/>
                <w:numId w:val="0"/>
              </w:numPr>
              <w:rPr>
                <w:rFonts w:hint="eastAsia" w:cs="Times New Roman"/>
                <w:vertAlign w:val="baseline"/>
                <w:lang w:val="en-US" w:eastAsia="zh-CN"/>
              </w:rPr>
            </w:pPr>
          </w:p>
          <w:p w14:paraId="534BD031">
            <w:pPr>
              <w:numPr>
                <w:ilvl w:val="0"/>
                <w:numId w:val="0"/>
              </w:numPr>
              <w:rPr>
                <w:rFonts w:hint="eastAsia" w:cs="Times New Roman"/>
                <w:vertAlign w:val="baseline"/>
                <w:lang w:val="en-US" w:eastAsia="zh-CN"/>
              </w:rPr>
            </w:pPr>
          </w:p>
          <w:p w14:paraId="2D6676FD">
            <w:pPr>
              <w:numPr>
                <w:ilvl w:val="0"/>
                <w:numId w:val="0"/>
              </w:numPr>
              <w:rPr>
                <w:rFonts w:hint="eastAsia" w:cs="Times New Roman"/>
                <w:vertAlign w:val="baseline"/>
                <w:lang w:val="en-US" w:eastAsia="zh-CN"/>
              </w:rPr>
            </w:pPr>
          </w:p>
          <w:p w14:paraId="6598078F">
            <w:pPr>
              <w:numPr>
                <w:ilvl w:val="0"/>
                <w:numId w:val="0"/>
              </w:numPr>
              <w:rPr>
                <w:rFonts w:hint="eastAsia" w:cs="Times New Roman"/>
                <w:vertAlign w:val="baseline"/>
                <w:lang w:val="en-US" w:eastAsia="zh-CN"/>
              </w:rPr>
            </w:pPr>
          </w:p>
          <w:p w14:paraId="3704D47F">
            <w:pPr>
              <w:numPr>
                <w:ilvl w:val="0"/>
                <w:numId w:val="0"/>
              </w:numPr>
              <w:rPr>
                <w:rFonts w:hint="eastAsia" w:cs="Times New Roman"/>
                <w:vertAlign w:val="baseline"/>
                <w:lang w:val="en-US" w:eastAsia="zh-CN"/>
              </w:rPr>
            </w:pPr>
          </w:p>
          <w:p w14:paraId="0256DB03">
            <w:pPr>
              <w:numPr>
                <w:ilvl w:val="0"/>
                <w:numId w:val="0"/>
              </w:numPr>
              <w:rPr>
                <w:rFonts w:hint="default"/>
                <w:vertAlign w:val="baseline"/>
                <w:lang w:val="en-US"/>
              </w:rPr>
            </w:pPr>
            <w:r>
              <w:rPr>
                <w:rFonts w:hint="eastAsia" w:ascii="宋体" w:hAnsi="宋体" w:cs="宋体"/>
                <w:b w:val="0"/>
                <w:bCs w:val="0"/>
                <w:szCs w:val="21"/>
                <w:highlight w:val="none"/>
              </w:rPr>
              <w:t>★</w:t>
            </w:r>
            <w:r>
              <w:rPr>
                <w:rFonts w:hint="eastAsia" w:cs="Times New Roman"/>
                <w:vertAlign w:val="baseline"/>
                <w:lang w:val="en-US" w:eastAsia="zh-CN"/>
              </w:rPr>
              <w:t>平台运维监控</w:t>
            </w:r>
          </w:p>
        </w:tc>
        <w:tc>
          <w:tcPr>
            <w:tcW w:w="6442" w:type="dxa"/>
            <w:noWrap w:val="0"/>
            <w:vAlign w:val="top"/>
          </w:tcPr>
          <w:p w14:paraId="7AFC0C0B">
            <w:pPr>
              <w:keepNext w:val="0"/>
              <w:keepLines w:val="0"/>
              <w:pageBreakBefore w:val="0"/>
              <w:widowControl w:val="0"/>
              <w:kinsoku/>
              <w:wordWrap/>
              <w:overflowPunct/>
              <w:topLinePunct w:val="0"/>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eastAsia="宋体" w:cs="宋体"/>
                <w:sz w:val="21"/>
                <w:szCs w:val="21"/>
                <w:lang w:val="en-US" w:eastAsia="zh-CN"/>
              </w:rPr>
              <w:t>1）</w:t>
            </w:r>
            <w:r>
              <w:rPr>
                <w:rFonts w:hint="eastAsia" w:ascii="宋体" w:hAnsi="宋体" w:eastAsia="宋体" w:cs="宋体"/>
                <w:sz w:val="21"/>
                <w:szCs w:val="21"/>
                <w:lang w:val="en-US" w:eastAsia="zh-CN"/>
              </w:rPr>
              <w:t>平台使用情况统计：</w:t>
            </w:r>
          </w:p>
          <w:p w14:paraId="628B099E">
            <w:pPr>
              <w:keepNext w:val="0"/>
              <w:keepLines w:val="0"/>
              <w:pageBreakBefore w:val="0"/>
              <w:widowControl w:val="0"/>
              <w:kinsoku/>
              <w:wordWrap/>
              <w:overflowPunct/>
              <w:topLinePunct w:val="0"/>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能统计整个平台内的总应用数量、办理数量、办理中数量、已办结数量、已取消数量、停滞中数量，需要可以下钻查看详细情况。</w:t>
            </w:r>
          </w:p>
          <w:p w14:paraId="4E2E19F8">
            <w:pPr>
              <w:keepNext w:val="0"/>
              <w:keepLines w:val="0"/>
              <w:pageBreakBefore w:val="0"/>
              <w:widowControl w:val="0"/>
              <w:kinsoku/>
              <w:wordWrap/>
              <w:overflowPunct/>
              <w:topLinePunct w:val="0"/>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eastAsia="宋体" w:cs="宋体"/>
                <w:sz w:val="21"/>
                <w:szCs w:val="21"/>
                <w:lang w:val="en-US" w:eastAsia="zh-CN"/>
              </w:rPr>
              <w:t>2）</w:t>
            </w:r>
            <w:r>
              <w:rPr>
                <w:rFonts w:hint="eastAsia" w:ascii="宋体" w:hAnsi="宋体" w:eastAsia="宋体" w:cs="宋体"/>
                <w:sz w:val="21"/>
                <w:szCs w:val="21"/>
                <w:lang w:val="en-US" w:eastAsia="zh-CN"/>
              </w:rPr>
              <w:t>应用办理情况：</w:t>
            </w:r>
          </w:p>
          <w:p w14:paraId="0E7C56CB">
            <w:pPr>
              <w:keepNext w:val="0"/>
              <w:keepLines w:val="0"/>
              <w:pageBreakBefore w:val="0"/>
              <w:widowControl w:val="0"/>
              <w:kinsoku/>
              <w:wordWrap/>
              <w:overflowPunct/>
              <w:topLinePunct w:val="0"/>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对于办理类应用统计办理次数，并按办理次数倒序进行排序，每个应用可以点击进入查看详细的办理清单。</w:t>
            </w:r>
          </w:p>
          <w:p w14:paraId="0C281DD6">
            <w:pPr>
              <w:keepNext w:val="0"/>
              <w:keepLines w:val="0"/>
              <w:pageBreakBefore w:val="0"/>
              <w:widowControl w:val="0"/>
              <w:kinsoku/>
              <w:wordWrap/>
              <w:overflowPunct/>
              <w:topLinePunct w:val="0"/>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eastAsia="宋体" w:cs="宋体"/>
                <w:sz w:val="21"/>
                <w:szCs w:val="21"/>
                <w:lang w:val="en-US" w:eastAsia="zh-CN"/>
              </w:rPr>
              <w:t>3）</w:t>
            </w:r>
            <w:r>
              <w:rPr>
                <w:rFonts w:hint="eastAsia" w:ascii="宋体" w:hAnsi="宋体" w:eastAsia="宋体" w:cs="宋体"/>
                <w:sz w:val="21"/>
                <w:szCs w:val="21"/>
                <w:lang w:val="en-US" w:eastAsia="zh-CN"/>
              </w:rPr>
              <w:t>应用查询清理：</w:t>
            </w:r>
          </w:p>
          <w:p w14:paraId="3D37A569">
            <w:pPr>
              <w:keepNext w:val="0"/>
              <w:keepLines w:val="0"/>
              <w:pageBreakBefore w:val="0"/>
              <w:widowControl w:val="0"/>
              <w:kinsoku/>
              <w:wordWrap/>
              <w:overflowPunct/>
              <w:topLinePunct w:val="0"/>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对应查询类应用统计查询次数，并按查询次数倒序进行排序，每个应用可以点击进入查看详细的查询情况。</w:t>
            </w:r>
          </w:p>
          <w:p w14:paraId="25370179">
            <w:pPr>
              <w:keepNext w:val="0"/>
              <w:keepLines w:val="0"/>
              <w:pageBreakBefore w:val="0"/>
              <w:widowControl w:val="0"/>
              <w:kinsoku/>
              <w:wordWrap/>
              <w:overflowPunct/>
              <w:topLinePunct w:val="0"/>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eastAsia="宋体" w:cs="宋体"/>
                <w:sz w:val="21"/>
                <w:szCs w:val="21"/>
                <w:lang w:val="en-US" w:eastAsia="zh-CN"/>
              </w:rPr>
              <w:t>4）</w:t>
            </w:r>
            <w:r>
              <w:rPr>
                <w:rFonts w:hint="eastAsia" w:ascii="宋体" w:hAnsi="宋体" w:eastAsia="宋体" w:cs="宋体"/>
                <w:sz w:val="21"/>
                <w:szCs w:val="21"/>
                <w:lang w:val="en-US" w:eastAsia="zh-CN"/>
              </w:rPr>
              <w:t>事项使用情况统计：</w:t>
            </w:r>
          </w:p>
          <w:p w14:paraId="4611B7CE">
            <w:pPr>
              <w:keepNext w:val="0"/>
              <w:keepLines w:val="0"/>
              <w:pageBreakBefore w:val="0"/>
              <w:widowControl w:val="0"/>
              <w:kinsoku/>
              <w:wordWrap/>
              <w:overflowPunct/>
              <w:topLinePunct w:val="0"/>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用圆形占比图按10次以下、100次以下、1000次以下、1000次以上统计应用的使用次数。每种比例都可以下钻查看详细的每个应用办理次数。</w:t>
            </w:r>
          </w:p>
          <w:p w14:paraId="3C3438F3">
            <w:pPr>
              <w:keepNext w:val="0"/>
              <w:keepLines w:val="0"/>
              <w:pageBreakBefore w:val="0"/>
              <w:widowControl w:val="0"/>
              <w:kinsoku/>
              <w:wordWrap/>
              <w:overflowPunct/>
              <w:topLinePunct w:val="0"/>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eastAsia="宋体" w:cs="宋体"/>
                <w:sz w:val="21"/>
                <w:szCs w:val="21"/>
                <w:lang w:val="en-US" w:eastAsia="zh-CN"/>
              </w:rPr>
              <w:t>5）</w:t>
            </w:r>
            <w:r>
              <w:rPr>
                <w:rFonts w:hint="eastAsia" w:ascii="宋体" w:hAnsi="宋体" w:eastAsia="宋体" w:cs="宋体"/>
                <w:sz w:val="21"/>
                <w:szCs w:val="21"/>
                <w:lang w:val="en-US" w:eastAsia="zh-CN"/>
              </w:rPr>
              <w:t>部门应用建设情况：</w:t>
            </w:r>
          </w:p>
          <w:p w14:paraId="0E44CE19">
            <w:pPr>
              <w:keepNext w:val="0"/>
              <w:keepLines w:val="0"/>
              <w:pageBreakBefore w:val="0"/>
              <w:widowControl w:val="0"/>
              <w:kinsoku/>
              <w:wordWrap/>
              <w:overflowPunct/>
              <w:topLinePunct w:val="0"/>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按部门统计每个部门在平台内建设的应用总数量清单，点击后可以查看部门建设的应用清单。</w:t>
            </w:r>
          </w:p>
          <w:p w14:paraId="5A25FD5B">
            <w:pPr>
              <w:keepNext w:val="0"/>
              <w:keepLines w:val="0"/>
              <w:pageBreakBefore w:val="0"/>
              <w:widowControl w:val="0"/>
              <w:kinsoku/>
              <w:wordWrap/>
              <w:overflowPunct/>
              <w:topLinePunct w:val="0"/>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eastAsia="宋体" w:cs="宋体"/>
                <w:sz w:val="21"/>
                <w:szCs w:val="21"/>
                <w:lang w:val="en-US" w:eastAsia="zh-CN"/>
              </w:rPr>
              <w:t>6）</w:t>
            </w:r>
            <w:r>
              <w:rPr>
                <w:rFonts w:hint="eastAsia" w:ascii="宋体" w:hAnsi="宋体" w:eastAsia="宋体" w:cs="宋体"/>
                <w:sz w:val="21"/>
                <w:szCs w:val="21"/>
                <w:lang w:val="en-US" w:eastAsia="zh-CN"/>
              </w:rPr>
              <w:t>部门应用使用情况：</w:t>
            </w:r>
          </w:p>
          <w:p w14:paraId="08660679">
            <w:pPr>
              <w:keepNext w:val="0"/>
              <w:keepLines w:val="0"/>
              <w:pageBreakBefore w:val="0"/>
              <w:widowControl w:val="0"/>
              <w:kinsoku/>
              <w:wordWrap/>
              <w:overflowPunct/>
              <w:topLinePunct w:val="0"/>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按部门统计每个部门建设的应用的总使用次数，点击后可以查看部门的每个应用使用情况。</w:t>
            </w:r>
          </w:p>
          <w:p w14:paraId="33AF70FF">
            <w:pPr>
              <w:keepNext w:val="0"/>
              <w:keepLines w:val="0"/>
              <w:pageBreakBefore w:val="0"/>
              <w:widowControl w:val="0"/>
              <w:kinsoku/>
              <w:wordWrap/>
              <w:overflowPunct/>
              <w:topLinePunct w:val="0"/>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eastAsia="宋体" w:cs="宋体"/>
                <w:sz w:val="21"/>
                <w:szCs w:val="21"/>
                <w:lang w:val="en-US" w:eastAsia="zh-CN"/>
              </w:rPr>
              <w:t>7）</w:t>
            </w:r>
            <w:r>
              <w:rPr>
                <w:rFonts w:hint="eastAsia" w:ascii="宋体" w:hAnsi="宋体" w:eastAsia="宋体" w:cs="宋体"/>
                <w:sz w:val="21"/>
                <w:szCs w:val="21"/>
                <w:lang w:val="en-US" w:eastAsia="zh-CN"/>
              </w:rPr>
              <w:t>流程耗时统计：</w:t>
            </w:r>
          </w:p>
          <w:p w14:paraId="33652BB6">
            <w:pPr>
              <w:keepNext w:val="0"/>
              <w:keepLines w:val="0"/>
              <w:pageBreakBefore w:val="0"/>
              <w:widowControl w:val="0"/>
              <w:kinsoku/>
              <w:wordWrap/>
              <w:overflowPunct/>
              <w:topLinePunct w:val="0"/>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以柱状图形式统计每个流程的平均耗时情况，按耗时时长倒序排序，点击进入后可以查看对应流程的所有办理情况。</w:t>
            </w:r>
          </w:p>
          <w:p w14:paraId="4F8D6CCE">
            <w:pPr>
              <w:keepNext w:val="0"/>
              <w:keepLines w:val="0"/>
              <w:pageBreakBefore w:val="0"/>
              <w:widowControl w:val="0"/>
              <w:kinsoku/>
              <w:wordWrap/>
              <w:overflowPunct/>
              <w:topLinePunct w:val="0"/>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eastAsia="宋体" w:cs="宋体"/>
                <w:sz w:val="21"/>
                <w:szCs w:val="21"/>
                <w:lang w:val="en-US" w:eastAsia="zh-CN"/>
              </w:rPr>
              <w:t>8）</w:t>
            </w:r>
            <w:r>
              <w:rPr>
                <w:rFonts w:hint="eastAsia" w:ascii="宋体" w:hAnsi="宋体" w:eastAsia="宋体" w:cs="宋体"/>
                <w:sz w:val="21"/>
                <w:szCs w:val="21"/>
                <w:lang w:val="en-US" w:eastAsia="zh-CN"/>
              </w:rPr>
              <w:t>人员耗时排行：</w:t>
            </w:r>
          </w:p>
          <w:p w14:paraId="7F726A7B">
            <w:pPr>
              <w:keepNext w:val="0"/>
              <w:keepLines w:val="0"/>
              <w:pageBreakBefore w:val="0"/>
              <w:widowControl w:val="0"/>
              <w:kinsoku/>
              <w:wordWrap/>
              <w:overflowPunct/>
              <w:topLinePunct w:val="0"/>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以柱状图形式按人员统计所审批的所有流程平均耗时情况，按耗时时长倒序排序，点击进入后可以查看对应人员审批的所有流程信息。</w:t>
            </w:r>
          </w:p>
          <w:p w14:paraId="6C685D43">
            <w:pPr>
              <w:keepNext w:val="0"/>
              <w:keepLines w:val="0"/>
              <w:pageBreakBefore w:val="0"/>
              <w:widowControl w:val="0"/>
              <w:kinsoku/>
              <w:wordWrap/>
              <w:overflowPunct/>
              <w:topLinePunct w:val="0"/>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eastAsia="宋体" w:cs="宋体"/>
                <w:sz w:val="21"/>
                <w:szCs w:val="21"/>
                <w:lang w:val="en-US" w:eastAsia="zh-CN"/>
              </w:rPr>
              <w:t>9）</w:t>
            </w:r>
            <w:r>
              <w:rPr>
                <w:rFonts w:hint="eastAsia" w:ascii="宋体" w:hAnsi="宋体" w:eastAsia="宋体" w:cs="宋体"/>
                <w:sz w:val="21"/>
                <w:szCs w:val="21"/>
                <w:lang w:val="en-US" w:eastAsia="zh-CN"/>
              </w:rPr>
              <w:t>部门耗时排行：</w:t>
            </w:r>
          </w:p>
          <w:p w14:paraId="3B76F09B">
            <w:pPr>
              <w:keepNext w:val="0"/>
              <w:keepLines w:val="0"/>
              <w:pageBreakBefore w:val="0"/>
              <w:widowControl w:val="0"/>
              <w:kinsoku/>
              <w:wordWrap/>
              <w:overflowPunct/>
              <w:topLinePunct w:val="0"/>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以柱状图形式按部门统计部门内所有人员的审批流程的平均耗时情况，按耗时时长倒序排序，点击进入后可以查看对应部门下的人员审批耗时情况，点击人员耗时情况后可以查看对应人员审批的所有流程信息。</w:t>
            </w:r>
          </w:p>
          <w:p w14:paraId="22C03138">
            <w:pPr>
              <w:keepNext w:val="0"/>
              <w:keepLines w:val="0"/>
              <w:pageBreakBefore w:val="0"/>
              <w:widowControl w:val="0"/>
              <w:kinsoku/>
              <w:wordWrap/>
              <w:overflowPunct/>
              <w:topLinePunct w:val="0"/>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eastAsia="宋体" w:cs="宋体"/>
                <w:sz w:val="21"/>
                <w:szCs w:val="21"/>
                <w:lang w:val="en-US" w:eastAsia="zh-CN"/>
              </w:rPr>
              <w:t>10）</w:t>
            </w:r>
            <w:r>
              <w:rPr>
                <w:rFonts w:hint="eastAsia" w:ascii="宋体" w:hAnsi="宋体" w:eastAsia="宋体" w:cs="宋体"/>
                <w:sz w:val="21"/>
                <w:szCs w:val="21"/>
                <w:lang w:val="en-US" w:eastAsia="zh-CN"/>
              </w:rPr>
              <w:t>流程待办数排行：</w:t>
            </w:r>
          </w:p>
          <w:p w14:paraId="16825ECF">
            <w:pPr>
              <w:keepNext w:val="0"/>
              <w:keepLines w:val="0"/>
              <w:pageBreakBefore w:val="0"/>
              <w:widowControl w:val="0"/>
              <w:kinsoku/>
              <w:wordWrap/>
              <w:overflowPunct/>
              <w:topLinePunct w:val="0"/>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以柱状图形式统计每个流程待办的数量，按待办数量倒序排序，点击后可以查看对应流程的待办信息。</w:t>
            </w:r>
          </w:p>
          <w:p w14:paraId="21A55D60">
            <w:pPr>
              <w:keepNext w:val="0"/>
              <w:keepLines w:val="0"/>
              <w:pageBreakBefore w:val="0"/>
              <w:widowControl w:val="0"/>
              <w:kinsoku/>
              <w:wordWrap/>
              <w:overflowPunct/>
              <w:topLinePunct w:val="0"/>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eastAsia="宋体" w:cs="宋体"/>
                <w:sz w:val="21"/>
                <w:szCs w:val="21"/>
                <w:lang w:val="en-US" w:eastAsia="zh-CN"/>
              </w:rPr>
              <w:t>11）</w:t>
            </w:r>
            <w:r>
              <w:rPr>
                <w:rFonts w:hint="eastAsia" w:ascii="宋体" w:hAnsi="宋体" w:eastAsia="宋体" w:cs="宋体"/>
                <w:sz w:val="21"/>
                <w:szCs w:val="21"/>
                <w:lang w:val="en-US" w:eastAsia="zh-CN"/>
              </w:rPr>
              <w:t>人员待办数排行：</w:t>
            </w:r>
          </w:p>
          <w:p w14:paraId="26934263">
            <w:pPr>
              <w:keepNext w:val="0"/>
              <w:keepLines w:val="0"/>
              <w:pageBreakBefore w:val="0"/>
              <w:widowControl w:val="0"/>
              <w:kinsoku/>
              <w:wordWrap/>
              <w:overflowPunct/>
              <w:topLinePunct w:val="0"/>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以柱状图形式统计每个人员的待办数量，按待办数量倒序排序，点击后可以查看对应人员的待办信息。</w:t>
            </w:r>
          </w:p>
          <w:p w14:paraId="03F4F2DF">
            <w:pPr>
              <w:keepNext w:val="0"/>
              <w:keepLines w:val="0"/>
              <w:pageBreakBefore w:val="0"/>
              <w:widowControl w:val="0"/>
              <w:kinsoku/>
              <w:wordWrap/>
              <w:overflowPunct/>
              <w:topLinePunct w:val="0"/>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eastAsia="宋体" w:cs="宋体"/>
                <w:sz w:val="21"/>
                <w:szCs w:val="21"/>
                <w:lang w:val="en-US" w:eastAsia="zh-CN"/>
              </w:rPr>
              <w:t>12）</w:t>
            </w:r>
            <w:r>
              <w:rPr>
                <w:rFonts w:hint="eastAsia" w:ascii="宋体" w:hAnsi="宋体" w:eastAsia="宋体" w:cs="宋体"/>
                <w:sz w:val="21"/>
                <w:szCs w:val="21"/>
                <w:lang w:val="en-US" w:eastAsia="zh-CN"/>
              </w:rPr>
              <w:t>部门待办数排行：</w:t>
            </w:r>
          </w:p>
          <w:p w14:paraId="375BA906">
            <w:pPr>
              <w:keepNext w:val="0"/>
              <w:keepLines w:val="0"/>
              <w:pageBreakBefore w:val="0"/>
              <w:widowControl w:val="0"/>
              <w:kinsoku/>
              <w:wordWrap/>
              <w:overflowPunct/>
              <w:topLinePunct w:val="0"/>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以柱状图形式按部门统计部门内所有人员的待办数量，按待办数量倒序排序，点击进入后可以查看对应部门下的人员待办数量，点击人员待办情况后可以查看对应人员待办信息。</w:t>
            </w:r>
          </w:p>
          <w:p w14:paraId="77157FC6">
            <w:pPr>
              <w:keepNext w:val="0"/>
              <w:keepLines w:val="0"/>
              <w:pageBreakBefore w:val="0"/>
              <w:widowControl w:val="0"/>
              <w:kinsoku/>
              <w:wordWrap/>
              <w:overflowPunct/>
              <w:topLinePunct w:val="0"/>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eastAsia="宋体" w:cs="宋体"/>
                <w:sz w:val="21"/>
                <w:szCs w:val="21"/>
                <w:lang w:val="en-US" w:eastAsia="zh-CN"/>
              </w:rPr>
              <w:t>13）</w:t>
            </w:r>
            <w:r>
              <w:rPr>
                <w:rFonts w:hint="eastAsia" w:ascii="宋体" w:hAnsi="宋体" w:eastAsia="宋体" w:cs="宋体"/>
                <w:sz w:val="21"/>
                <w:szCs w:val="21"/>
                <w:lang w:val="en-US" w:eastAsia="zh-CN"/>
              </w:rPr>
              <w:t>流程超时排行：</w:t>
            </w:r>
          </w:p>
          <w:p w14:paraId="655B1F67">
            <w:pPr>
              <w:keepNext w:val="0"/>
              <w:keepLines w:val="0"/>
              <w:pageBreakBefore w:val="0"/>
              <w:widowControl w:val="0"/>
              <w:kinsoku/>
              <w:wordWrap/>
              <w:overflowPunct/>
              <w:topLinePunct w:val="0"/>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以柱状图形式</w:t>
            </w:r>
            <w:r>
              <w:rPr>
                <w:rFonts w:hint="eastAsia" w:eastAsia="宋体" w:cs="宋体"/>
                <w:sz w:val="21"/>
                <w:szCs w:val="21"/>
                <w:lang w:val="en-US" w:eastAsia="zh-CN"/>
              </w:rPr>
              <w:t>以</w:t>
            </w:r>
            <w:r>
              <w:rPr>
                <w:rFonts w:hint="eastAsia" w:ascii="宋体" w:hAnsi="宋体" w:eastAsia="宋体" w:cs="宋体"/>
                <w:sz w:val="21"/>
                <w:szCs w:val="21"/>
                <w:lang w:val="en-US" w:eastAsia="zh-CN"/>
              </w:rPr>
              <w:t>流程</w:t>
            </w:r>
            <w:r>
              <w:rPr>
                <w:rFonts w:hint="eastAsia" w:eastAsia="宋体" w:cs="宋体"/>
                <w:sz w:val="21"/>
                <w:szCs w:val="21"/>
                <w:lang w:val="en-US" w:eastAsia="zh-CN"/>
              </w:rPr>
              <w:t>为</w:t>
            </w:r>
            <w:r>
              <w:rPr>
                <w:rFonts w:hint="eastAsia" w:ascii="宋体" w:hAnsi="宋体" w:eastAsia="宋体" w:cs="宋体"/>
                <w:sz w:val="21"/>
                <w:szCs w:val="21"/>
                <w:lang w:val="en-US" w:eastAsia="zh-CN"/>
              </w:rPr>
              <w:t>统计</w:t>
            </w:r>
            <w:r>
              <w:rPr>
                <w:rFonts w:hint="eastAsia" w:eastAsia="宋体" w:cs="宋体"/>
                <w:sz w:val="21"/>
                <w:szCs w:val="21"/>
                <w:lang w:val="en-US" w:eastAsia="zh-CN"/>
              </w:rPr>
              <w:t>对象统计</w:t>
            </w:r>
            <w:r>
              <w:rPr>
                <w:rFonts w:hint="eastAsia" w:ascii="宋体" w:hAnsi="宋体" w:eastAsia="宋体" w:cs="宋体"/>
                <w:sz w:val="21"/>
                <w:szCs w:val="21"/>
                <w:lang w:val="en-US" w:eastAsia="zh-CN"/>
              </w:rPr>
              <w:t>流程审批平均超时时长，按超时时长倒序排序，点击后可以查看超时的流程详细信息。</w:t>
            </w:r>
          </w:p>
          <w:p w14:paraId="2D9A0CDF">
            <w:pPr>
              <w:keepNext w:val="0"/>
              <w:keepLines w:val="0"/>
              <w:pageBreakBefore w:val="0"/>
              <w:widowControl w:val="0"/>
              <w:kinsoku/>
              <w:wordWrap/>
              <w:overflowPunct/>
              <w:topLinePunct w:val="0"/>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eastAsia="宋体" w:cs="宋体"/>
                <w:sz w:val="21"/>
                <w:szCs w:val="21"/>
                <w:lang w:val="en-US" w:eastAsia="zh-CN"/>
              </w:rPr>
              <w:t>14）</w:t>
            </w:r>
            <w:r>
              <w:rPr>
                <w:rFonts w:hint="eastAsia" w:ascii="宋体" w:hAnsi="宋体" w:eastAsia="宋体" w:cs="宋体"/>
                <w:sz w:val="21"/>
                <w:szCs w:val="21"/>
                <w:lang w:val="en-US" w:eastAsia="zh-CN"/>
              </w:rPr>
              <w:t>人员超时排行：</w:t>
            </w:r>
          </w:p>
          <w:p w14:paraId="04B4E83B">
            <w:pPr>
              <w:keepNext w:val="0"/>
              <w:keepLines w:val="0"/>
              <w:pageBreakBefore w:val="0"/>
              <w:widowControl w:val="0"/>
              <w:kinsoku/>
              <w:wordWrap/>
              <w:overflowPunct/>
              <w:topLinePunct w:val="0"/>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以柱状图形式统计每个人员的流程审批平均超时时长，按超时时长倒序排序，点击后可以查看超时的流程详细信息。</w:t>
            </w:r>
          </w:p>
          <w:p w14:paraId="68508052">
            <w:pPr>
              <w:keepNext w:val="0"/>
              <w:keepLines w:val="0"/>
              <w:pageBreakBefore w:val="0"/>
              <w:widowControl w:val="0"/>
              <w:kinsoku/>
              <w:wordWrap/>
              <w:overflowPunct/>
              <w:topLinePunct w:val="0"/>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eastAsia="宋体" w:cs="宋体"/>
                <w:sz w:val="21"/>
                <w:szCs w:val="21"/>
                <w:lang w:val="en-US" w:eastAsia="zh-CN"/>
              </w:rPr>
              <w:t>15）</w:t>
            </w:r>
            <w:r>
              <w:rPr>
                <w:rFonts w:hint="eastAsia" w:ascii="宋体" w:hAnsi="宋体" w:eastAsia="宋体" w:cs="宋体"/>
                <w:sz w:val="21"/>
                <w:szCs w:val="21"/>
                <w:lang w:val="en-US" w:eastAsia="zh-CN"/>
              </w:rPr>
              <w:t>部门超时排行：</w:t>
            </w:r>
          </w:p>
          <w:p w14:paraId="2A95318E">
            <w:pPr>
              <w:keepNext w:val="0"/>
              <w:keepLines w:val="0"/>
              <w:pageBreakBefore w:val="0"/>
              <w:widowControl w:val="0"/>
              <w:kinsoku/>
              <w:wordWrap/>
              <w:overflowPunct/>
              <w:topLinePunct w:val="0"/>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以柱状图形式按部门统计部门内所有人员的流程审批超时时长，按超时时长倒序排序，点击进入后可以查看对应部门下的人员超时时长，点击人员超时时长后可以查看对应人员的超时流程详细信息。</w:t>
            </w:r>
          </w:p>
          <w:p w14:paraId="2BE02346">
            <w:pPr>
              <w:keepNext w:val="0"/>
              <w:keepLines w:val="0"/>
              <w:pageBreakBefore w:val="0"/>
              <w:widowControl w:val="0"/>
              <w:kinsoku/>
              <w:wordWrap/>
              <w:overflowPunct/>
              <w:topLinePunct w:val="0"/>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eastAsia="宋体" w:cs="宋体"/>
                <w:sz w:val="21"/>
                <w:szCs w:val="21"/>
                <w:lang w:val="en-US" w:eastAsia="zh-CN"/>
              </w:rPr>
              <w:t>16）</w:t>
            </w:r>
            <w:r>
              <w:rPr>
                <w:rFonts w:hint="eastAsia" w:ascii="宋体" w:hAnsi="宋体" w:eastAsia="宋体" w:cs="宋体"/>
                <w:sz w:val="21"/>
                <w:szCs w:val="21"/>
                <w:lang w:val="en-US" w:eastAsia="zh-CN"/>
              </w:rPr>
              <w:t>统计自定义时间：</w:t>
            </w:r>
          </w:p>
          <w:p w14:paraId="3272B0AB">
            <w:pPr>
              <w:keepNext w:val="0"/>
              <w:keepLines w:val="0"/>
              <w:pageBreakBefore w:val="0"/>
              <w:widowControl w:val="0"/>
              <w:kinsoku/>
              <w:wordWrap/>
              <w:overflowPunct/>
              <w:topLinePunct w:val="0"/>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所有监控统计都可以按日、周、月、季、年、自定义时间进行统计。</w:t>
            </w:r>
          </w:p>
          <w:p w14:paraId="0FD2D323">
            <w:pPr>
              <w:keepNext w:val="0"/>
              <w:keepLines w:val="0"/>
              <w:pageBreakBefore w:val="0"/>
              <w:widowControl w:val="0"/>
              <w:kinsoku/>
              <w:wordWrap/>
              <w:overflowPunct/>
              <w:topLinePunct w:val="0"/>
              <w:bidi w:val="0"/>
              <w:adjustRightInd/>
              <w:snapToGrid/>
              <w:spacing w:line="240" w:lineRule="auto"/>
              <w:ind w:lef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17）PC、移动端自适应：</w:t>
            </w:r>
          </w:p>
          <w:p w14:paraId="0CC98848">
            <w:pPr>
              <w:keepNext w:val="0"/>
              <w:keepLines w:val="0"/>
              <w:pageBreakBefore w:val="0"/>
              <w:widowControl w:val="0"/>
              <w:kinsoku/>
              <w:wordWrap/>
              <w:overflowPunct/>
              <w:topLinePunct w:val="0"/>
              <w:bidi w:val="0"/>
              <w:adjustRightInd/>
              <w:snapToGrid/>
              <w:spacing w:line="240" w:lineRule="auto"/>
              <w:ind w:left="0" w:firstLine="0" w:firstLineChars="0"/>
              <w:textAlignment w:val="auto"/>
              <w:rPr>
                <w:rFonts w:hint="default"/>
                <w:vertAlign w:val="baseline"/>
                <w:lang w:val="en-US"/>
              </w:rPr>
            </w:pPr>
            <w:r>
              <w:rPr>
                <w:rFonts w:hint="eastAsia" w:ascii="宋体" w:hAnsi="宋体" w:eastAsia="宋体" w:cs="宋体"/>
                <w:sz w:val="21"/>
                <w:szCs w:val="21"/>
                <w:lang w:val="en-US" w:eastAsia="zh-CN"/>
              </w:rPr>
              <w:t>监控统计的所有功能需要同时支持电脑端、移动端。</w:t>
            </w:r>
          </w:p>
        </w:tc>
      </w:tr>
      <w:tr w14:paraId="2A899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center"/>
          </w:tcPr>
          <w:p w14:paraId="0028AF4A">
            <w:pPr>
              <w:numPr>
                <w:ilvl w:val="0"/>
                <w:numId w:val="0"/>
              </w:numPr>
              <w:jc w:val="center"/>
              <w:rPr>
                <w:rFonts w:hint="eastAsia"/>
                <w:vertAlign w:val="baseline"/>
                <w:lang w:val="en-US" w:eastAsia="zh-CN"/>
              </w:rPr>
            </w:pPr>
          </w:p>
          <w:p w14:paraId="10385EDA">
            <w:pPr>
              <w:numPr>
                <w:ilvl w:val="0"/>
                <w:numId w:val="0"/>
              </w:numPr>
              <w:jc w:val="center"/>
              <w:rPr>
                <w:rFonts w:hint="default"/>
                <w:vertAlign w:val="baseline"/>
                <w:lang w:val="en-US" w:eastAsia="zh-CN"/>
              </w:rPr>
            </w:pPr>
            <w:r>
              <w:rPr>
                <w:rFonts w:hint="eastAsia"/>
                <w:vertAlign w:val="baseline"/>
                <w:lang w:val="en-US" w:eastAsia="zh-CN"/>
              </w:rPr>
              <w:t>29</w:t>
            </w:r>
          </w:p>
        </w:tc>
        <w:tc>
          <w:tcPr>
            <w:tcW w:w="2439" w:type="dxa"/>
            <w:noWrap w:val="0"/>
            <w:vAlign w:val="top"/>
          </w:tcPr>
          <w:p w14:paraId="38B6128F">
            <w:pPr>
              <w:numPr>
                <w:ilvl w:val="0"/>
                <w:numId w:val="0"/>
              </w:numPr>
              <w:rPr>
                <w:rFonts w:hint="default" w:eastAsia="宋体"/>
                <w:b w:val="0"/>
                <w:bCs w:val="0"/>
                <w:vertAlign w:val="baseline"/>
                <w:lang w:val="en-US" w:eastAsia="zh-CN"/>
              </w:rPr>
            </w:pPr>
            <w:r>
              <w:rPr>
                <w:rFonts w:hint="eastAsia" w:ascii="宋体" w:hAnsi="宋体" w:eastAsia="宋体" w:cs="宋体"/>
                <w:b w:val="0"/>
                <w:bCs w:val="0"/>
                <w:kern w:val="0"/>
                <w:sz w:val="21"/>
                <w:szCs w:val="21"/>
                <w:lang w:bidi="ar"/>
              </w:rPr>
              <w:t>AI开发微应用菜单</w:t>
            </w:r>
          </w:p>
        </w:tc>
        <w:tc>
          <w:tcPr>
            <w:tcW w:w="6442" w:type="dxa"/>
            <w:noWrap w:val="0"/>
            <w:vAlign w:val="top"/>
          </w:tcPr>
          <w:p w14:paraId="7A249EF6">
            <w:pPr>
              <w:numPr>
                <w:ilvl w:val="0"/>
                <w:numId w:val="0"/>
              </w:numPr>
              <w:rPr>
                <w:rFonts w:hint="default"/>
                <w:vertAlign w:val="baseline"/>
                <w:lang w:val="en-US"/>
              </w:rPr>
            </w:pPr>
            <w:r>
              <w:rPr>
                <w:rFonts w:hint="eastAsia" w:ascii="宋体" w:hAnsi="宋体" w:eastAsia="宋体" w:cs="宋体"/>
                <w:kern w:val="0"/>
                <w:sz w:val="21"/>
                <w:szCs w:val="21"/>
                <w:lang w:val="en-US" w:eastAsia="zh-CN" w:bidi="ar"/>
              </w:rPr>
              <w:t>支持</w:t>
            </w:r>
            <w:r>
              <w:rPr>
                <w:rFonts w:hint="eastAsia" w:ascii="宋体" w:hAnsi="宋体" w:eastAsia="宋体" w:cs="宋体"/>
                <w:kern w:val="0"/>
                <w:sz w:val="21"/>
                <w:szCs w:val="21"/>
                <w:lang w:bidi="ar"/>
              </w:rPr>
              <w:t>AI窗口聊天对话，通过文字描述菜单名称，就可以在低代码平台里自动生成一个微应用的菜单，包括微应用菜单名称、审批中心(我的待办、我的已办、我的申请、抄送、草稿、流程监控)，并可以在生成菜单后通过AI对话调整菜单上下顺序。</w:t>
            </w:r>
          </w:p>
        </w:tc>
      </w:tr>
      <w:tr w14:paraId="76DE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center"/>
          </w:tcPr>
          <w:p w14:paraId="491F34DC">
            <w:pPr>
              <w:numPr>
                <w:ilvl w:val="0"/>
                <w:numId w:val="0"/>
              </w:numPr>
              <w:jc w:val="center"/>
              <w:rPr>
                <w:rFonts w:hint="eastAsia"/>
                <w:vertAlign w:val="baseline"/>
                <w:lang w:val="en-US" w:eastAsia="zh-CN"/>
              </w:rPr>
            </w:pPr>
          </w:p>
          <w:p w14:paraId="6C250F05">
            <w:pPr>
              <w:numPr>
                <w:ilvl w:val="0"/>
                <w:numId w:val="0"/>
              </w:numPr>
              <w:jc w:val="center"/>
              <w:rPr>
                <w:rFonts w:hint="eastAsia"/>
                <w:vertAlign w:val="baseline"/>
                <w:lang w:val="en-US" w:eastAsia="zh-CN"/>
              </w:rPr>
            </w:pPr>
          </w:p>
          <w:p w14:paraId="134BE2EC">
            <w:pPr>
              <w:numPr>
                <w:ilvl w:val="0"/>
                <w:numId w:val="0"/>
              </w:numPr>
              <w:jc w:val="center"/>
              <w:rPr>
                <w:rFonts w:hint="default" w:eastAsia="宋体"/>
                <w:vertAlign w:val="baseline"/>
                <w:lang w:val="en-US" w:eastAsia="zh-CN"/>
              </w:rPr>
            </w:pPr>
            <w:r>
              <w:rPr>
                <w:rFonts w:hint="eastAsia"/>
                <w:vertAlign w:val="baseline"/>
                <w:lang w:val="en-US" w:eastAsia="zh-CN"/>
              </w:rPr>
              <w:t>30</w:t>
            </w:r>
          </w:p>
        </w:tc>
        <w:tc>
          <w:tcPr>
            <w:tcW w:w="2439" w:type="dxa"/>
            <w:noWrap w:val="0"/>
            <w:vAlign w:val="top"/>
          </w:tcPr>
          <w:p w14:paraId="19F941CD">
            <w:pPr>
              <w:numPr>
                <w:ilvl w:val="0"/>
                <w:numId w:val="0"/>
              </w:numPr>
              <w:rPr>
                <w:rFonts w:hint="default"/>
                <w:b w:val="0"/>
                <w:bCs w:val="0"/>
                <w:vertAlign w:val="baseline"/>
                <w:lang w:val="en-US"/>
              </w:rPr>
            </w:pPr>
            <w:r>
              <w:rPr>
                <w:rFonts w:hint="eastAsia" w:ascii="宋体" w:hAnsi="宋体" w:cs="宋体"/>
                <w:b w:val="0"/>
                <w:bCs w:val="0"/>
                <w:szCs w:val="21"/>
                <w:highlight w:val="none"/>
              </w:rPr>
              <w:t>★</w:t>
            </w:r>
            <w:r>
              <w:rPr>
                <w:rFonts w:hint="eastAsia" w:ascii="宋体" w:hAnsi="宋体" w:eastAsia="宋体" w:cs="宋体"/>
                <w:b w:val="0"/>
                <w:bCs w:val="0"/>
                <w:kern w:val="0"/>
                <w:sz w:val="21"/>
                <w:szCs w:val="21"/>
                <w:lang w:bidi="ar"/>
              </w:rPr>
              <w:t>AI开发表单</w:t>
            </w:r>
          </w:p>
        </w:tc>
        <w:tc>
          <w:tcPr>
            <w:tcW w:w="6442" w:type="dxa"/>
            <w:noWrap w:val="0"/>
            <w:vAlign w:val="top"/>
          </w:tcPr>
          <w:p w14:paraId="674F8B8D">
            <w:pPr>
              <w:numPr>
                <w:ilvl w:val="0"/>
                <w:numId w:val="0"/>
              </w:numPr>
              <w:rPr>
                <w:rFonts w:hint="default"/>
                <w:vertAlign w:val="baseline"/>
                <w:lang w:val="en-US"/>
              </w:rPr>
            </w:pPr>
            <w:r>
              <w:rPr>
                <w:rFonts w:hint="eastAsia" w:ascii="宋体" w:hAnsi="宋体" w:eastAsia="宋体" w:cs="宋体"/>
                <w:kern w:val="0"/>
                <w:sz w:val="21"/>
                <w:szCs w:val="21"/>
                <w:lang w:bidi="ar"/>
              </w:rPr>
              <w:t>通过AI上下文语义理解,在创建微应用菜单步骤基础上通过文字或者语音描述表单字段内容，就可以自动在低代码平台里生成相应的表单字段内容。在表单界面用AI表单助手，通过文字或者语音实现添加、删除、修改字段的功能，通过文字或者语音实现AI设置字段的默认值、是否必填、是否只读、标签对齐方式、提示文字、描述文字等属性。</w:t>
            </w:r>
          </w:p>
        </w:tc>
      </w:tr>
      <w:tr w14:paraId="12AE5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center"/>
          </w:tcPr>
          <w:p w14:paraId="52A4D33E">
            <w:pPr>
              <w:numPr>
                <w:ilvl w:val="0"/>
                <w:numId w:val="0"/>
              </w:numPr>
              <w:jc w:val="center"/>
              <w:rPr>
                <w:rFonts w:hint="default"/>
                <w:vertAlign w:val="baseline"/>
                <w:lang w:val="en-US" w:eastAsia="zh-CN"/>
              </w:rPr>
            </w:pPr>
            <w:r>
              <w:rPr>
                <w:rFonts w:hint="eastAsia"/>
                <w:vertAlign w:val="baseline"/>
                <w:lang w:val="en-US" w:eastAsia="zh-CN"/>
              </w:rPr>
              <w:t>31</w:t>
            </w:r>
          </w:p>
          <w:p w14:paraId="0221306A">
            <w:pPr>
              <w:numPr>
                <w:ilvl w:val="0"/>
                <w:numId w:val="0"/>
              </w:numPr>
              <w:jc w:val="center"/>
              <w:rPr>
                <w:rFonts w:hint="eastAsia"/>
                <w:vertAlign w:val="baseline"/>
                <w:lang w:val="en-US" w:eastAsia="zh-CN"/>
              </w:rPr>
            </w:pPr>
          </w:p>
          <w:p w14:paraId="6DD6F332">
            <w:pPr>
              <w:numPr>
                <w:ilvl w:val="0"/>
                <w:numId w:val="0"/>
              </w:numPr>
              <w:jc w:val="center"/>
              <w:rPr>
                <w:rFonts w:hint="default" w:eastAsia="宋体"/>
                <w:vertAlign w:val="baseline"/>
                <w:lang w:val="en-US" w:eastAsia="zh-CN"/>
              </w:rPr>
            </w:pPr>
          </w:p>
        </w:tc>
        <w:tc>
          <w:tcPr>
            <w:tcW w:w="2439" w:type="dxa"/>
            <w:noWrap w:val="0"/>
            <w:vAlign w:val="top"/>
          </w:tcPr>
          <w:p w14:paraId="491817D1">
            <w:pPr>
              <w:numPr>
                <w:ilvl w:val="0"/>
                <w:numId w:val="0"/>
              </w:numPr>
              <w:rPr>
                <w:rFonts w:hint="default"/>
                <w:b w:val="0"/>
                <w:bCs w:val="0"/>
                <w:vertAlign w:val="baseline"/>
                <w:lang w:val="en-US"/>
              </w:rPr>
            </w:pPr>
            <w:r>
              <w:rPr>
                <w:rFonts w:hint="eastAsia" w:ascii="宋体" w:hAnsi="宋体" w:cs="宋体"/>
                <w:b w:val="0"/>
                <w:bCs w:val="0"/>
                <w:szCs w:val="21"/>
                <w:highlight w:val="none"/>
              </w:rPr>
              <w:t>★</w:t>
            </w:r>
            <w:r>
              <w:rPr>
                <w:rFonts w:hint="eastAsia" w:ascii="宋体" w:hAnsi="宋体" w:eastAsia="宋体" w:cs="宋体"/>
                <w:b w:val="0"/>
                <w:bCs w:val="0"/>
                <w:kern w:val="0"/>
                <w:sz w:val="21"/>
                <w:szCs w:val="21"/>
                <w:lang w:bidi="ar"/>
              </w:rPr>
              <w:t>AI开发流程</w:t>
            </w:r>
          </w:p>
        </w:tc>
        <w:tc>
          <w:tcPr>
            <w:tcW w:w="6442" w:type="dxa"/>
            <w:noWrap w:val="0"/>
            <w:vAlign w:val="top"/>
          </w:tcPr>
          <w:p w14:paraId="5CF07020">
            <w:pPr>
              <w:numPr>
                <w:ilvl w:val="0"/>
                <w:numId w:val="0"/>
              </w:numPr>
              <w:rPr>
                <w:rFonts w:hint="default"/>
                <w:vertAlign w:val="baseline"/>
                <w:lang w:val="en-US"/>
              </w:rPr>
            </w:pPr>
            <w:r>
              <w:rPr>
                <w:rFonts w:hint="eastAsia" w:ascii="宋体" w:hAnsi="宋体" w:eastAsia="宋体" w:cs="宋体"/>
                <w:color w:val="000000"/>
                <w:sz w:val="21"/>
                <w:szCs w:val="21"/>
              </w:rPr>
              <w:t>通过AI上下文语义理解，通过文字或者语音描述流程步骤，就可以在低代码平台里生成相应的流程图，可以通过文字或者语音用AI助手完成在指定节点后面添加审批节点、除指定节点、修改节点名称等操作，可以设计流程步骤是否允许批量审批、是否启用自动审批、限制不允许终止、限制任务撤回等属性。</w:t>
            </w:r>
          </w:p>
        </w:tc>
      </w:tr>
      <w:tr w14:paraId="18F6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center"/>
          </w:tcPr>
          <w:p w14:paraId="0E444EFF">
            <w:pPr>
              <w:numPr>
                <w:ilvl w:val="0"/>
                <w:numId w:val="0"/>
              </w:numPr>
              <w:jc w:val="center"/>
              <w:rPr>
                <w:rFonts w:hint="eastAsia"/>
                <w:vertAlign w:val="baseline"/>
                <w:lang w:val="en-US" w:eastAsia="zh-CN"/>
              </w:rPr>
            </w:pPr>
          </w:p>
          <w:p w14:paraId="0EF1B208">
            <w:pPr>
              <w:numPr>
                <w:ilvl w:val="0"/>
                <w:numId w:val="0"/>
              </w:numPr>
              <w:jc w:val="center"/>
              <w:rPr>
                <w:rFonts w:hint="eastAsia"/>
                <w:vertAlign w:val="baseline"/>
                <w:lang w:val="en-US" w:eastAsia="zh-CN"/>
              </w:rPr>
            </w:pPr>
          </w:p>
          <w:p w14:paraId="1B280714">
            <w:pPr>
              <w:numPr>
                <w:ilvl w:val="0"/>
                <w:numId w:val="0"/>
              </w:numPr>
              <w:jc w:val="center"/>
              <w:rPr>
                <w:rFonts w:hint="default" w:eastAsia="宋体"/>
                <w:vertAlign w:val="baseline"/>
                <w:lang w:val="en-US" w:eastAsia="zh-CN"/>
              </w:rPr>
            </w:pPr>
            <w:r>
              <w:rPr>
                <w:rFonts w:hint="eastAsia"/>
                <w:vertAlign w:val="baseline"/>
                <w:lang w:val="en-US" w:eastAsia="zh-CN"/>
              </w:rPr>
              <w:t>32</w:t>
            </w:r>
          </w:p>
        </w:tc>
        <w:tc>
          <w:tcPr>
            <w:tcW w:w="2439" w:type="dxa"/>
            <w:noWrap w:val="0"/>
            <w:vAlign w:val="top"/>
          </w:tcPr>
          <w:p w14:paraId="45282B4F">
            <w:pPr>
              <w:keepNext w:val="0"/>
              <w:keepLines w:val="0"/>
              <w:pageBreakBefore w:val="0"/>
              <w:widowControl w:val="0"/>
              <w:kinsoku/>
              <w:wordWrap/>
              <w:overflowPunct/>
              <w:topLinePunct w:val="0"/>
              <w:bidi w:val="0"/>
              <w:adjustRightInd/>
              <w:snapToGrid/>
              <w:spacing w:line="240" w:lineRule="auto"/>
              <w:ind w:left="0" w:firstLine="0" w:firstLineChars="0"/>
              <w:textAlignment w:val="auto"/>
              <w:rPr>
                <w:rFonts w:hint="eastAsia" w:ascii="宋体" w:hAnsi="宋体" w:eastAsia="宋体" w:cs="宋体"/>
                <w:b w:val="0"/>
                <w:bCs w:val="0"/>
                <w:kern w:val="0"/>
                <w:sz w:val="21"/>
                <w:szCs w:val="21"/>
                <w:lang w:bidi="ar"/>
              </w:rPr>
            </w:pPr>
          </w:p>
          <w:p w14:paraId="6564E6AA">
            <w:pPr>
              <w:keepNext w:val="0"/>
              <w:keepLines w:val="0"/>
              <w:pageBreakBefore w:val="0"/>
              <w:widowControl w:val="0"/>
              <w:kinsoku/>
              <w:wordWrap/>
              <w:overflowPunct/>
              <w:topLinePunct w:val="0"/>
              <w:bidi w:val="0"/>
              <w:adjustRightInd/>
              <w:snapToGrid/>
              <w:spacing w:line="240" w:lineRule="auto"/>
              <w:ind w:left="0" w:firstLine="0" w:firstLineChars="0"/>
              <w:textAlignment w:val="auto"/>
              <w:rPr>
                <w:rFonts w:hint="eastAsia" w:ascii="宋体" w:hAnsi="宋体" w:eastAsia="宋体" w:cs="宋体"/>
                <w:b w:val="0"/>
                <w:bCs w:val="0"/>
                <w:kern w:val="0"/>
                <w:sz w:val="21"/>
                <w:szCs w:val="21"/>
                <w:lang w:bidi="ar"/>
              </w:rPr>
            </w:pPr>
          </w:p>
          <w:p w14:paraId="46A7D3BF">
            <w:pPr>
              <w:keepNext w:val="0"/>
              <w:keepLines w:val="0"/>
              <w:pageBreakBefore w:val="0"/>
              <w:widowControl w:val="0"/>
              <w:kinsoku/>
              <w:wordWrap/>
              <w:overflowPunct/>
              <w:topLinePunct w:val="0"/>
              <w:bidi w:val="0"/>
              <w:adjustRightInd/>
              <w:snapToGrid/>
              <w:spacing w:line="240" w:lineRule="auto"/>
              <w:ind w:left="0" w:firstLine="0" w:firstLineChars="0"/>
              <w:textAlignment w:val="auto"/>
              <w:rPr>
                <w:rFonts w:hint="eastAsia" w:ascii="宋体" w:hAnsi="宋体" w:eastAsia="宋体" w:cs="宋体"/>
                <w:b w:val="0"/>
                <w:bCs w:val="0"/>
                <w:kern w:val="0"/>
                <w:sz w:val="21"/>
                <w:szCs w:val="21"/>
                <w:lang w:bidi="ar"/>
              </w:rPr>
            </w:pPr>
            <w:r>
              <w:rPr>
                <w:rFonts w:hint="eastAsia" w:ascii="宋体" w:hAnsi="宋体" w:cs="宋体"/>
                <w:b w:val="0"/>
                <w:bCs w:val="0"/>
                <w:szCs w:val="21"/>
                <w:highlight w:val="none"/>
              </w:rPr>
              <w:t>★</w:t>
            </w:r>
            <w:r>
              <w:rPr>
                <w:rFonts w:hint="eastAsia" w:ascii="宋体" w:hAnsi="宋体" w:eastAsia="宋体" w:cs="宋体"/>
                <w:b w:val="0"/>
                <w:bCs w:val="0"/>
                <w:kern w:val="0"/>
                <w:sz w:val="21"/>
                <w:szCs w:val="21"/>
                <w:lang w:bidi="ar"/>
              </w:rPr>
              <w:t>AI发起流程</w:t>
            </w:r>
          </w:p>
          <w:p w14:paraId="185554D5">
            <w:pPr>
              <w:numPr>
                <w:ilvl w:val="0"/>
                <w:numId w:val="0"/>
              </w:numPr>
              <w:rPr>
                <w:rFonts w:hint="default"/>
                <w:b w:val="0"/>
                <w:bCs w:val="0"/>
                <w:vertAlign w:val="baseline"/>
                <w:lang w:val="en-US"/>
              </w:rPr>
            </w:pPr>
          </w:p>
        </w:tc>
        <w:tc>
          <w:tcPr>
            <w:tcW w:w="6442" w:type="dxa"/>
            <w:noWrap w:val="0"/>
            <w:vAlign w:val="top"/>
          </w:tcPr>
          <w:p w14:paraId="50198840">
            <w:pPr>
              <w:numPr>
                <w:ilvl w:val="0"/>
                <w:numId w:val="0"/>
              </w:numPr>
              <w:rPr>
                <w:rFonts w:hint="default"/>
                <w:vertAlign w:val="baseline"/>
                <w:lang w:val="en-US"/>
              </w:rPr>
            </w:pPr>
            <w:r>
              <w:rPr>
                <w:rFonts w:hint="eastAsia" w:ascii="宋体" w:hAnsi="宋体" w:eastAsia="宋体" w:cs="宋体"/>
                <w:color w:val="000000"/>
                <w:sz w:val="21"/>
                <w:szCs w:val="21"/>
              </w:rPr>
              <w:t>通过AI窗口聊天多轮对话,输入与表单相关的文字内容通过AI的上下文语义理解生成表单，可以对表单进行编辑，也可以直接确认发起流程。对于简单流程可以直接在AI聊天界面直接提交申请，不用跳转到表单申请界面进行提交。对于复杂流程可以将</w:t>
            </w:r>
            <w:r>
              <w:rPr>
                <w:rFonts w:hint="eastAsia" w:ascii="宋体" w:hAnsi="宋体" w:cs="宋体"/>
                <w:color w:val="000000"/>
                <w:sz w:val="21"/>
                <w:szCs w:val="21"/>
                <w:lang w:val="en-US" w:eastAsia="zh-CN"/>
              </w:rPr>
              <w:t>AI</w:t>
            </w:r>
            <w:r>
              <w:rPr>
                <w:rFonts w:hint="eastAsia" w:ascii="宋体" w:hAnsi="宋体" w:eastAsia="宋体" w:cs="宋体"/>
                <w:color w:val="000000"/>
                <w:sz w:val="21"/>
                <w:szCs w:val="21"/>
              </w:rPr>
              <w:t>识别的字段自动带入到表单申请界面进行修改再提交。</w:t>
            </w:r>
          </w:p>
        </w:tc>
      </w:tr>
      <w:tr w14:paraId="09E9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center"/>
          </w:tcPr>
          <w:p w14:paraId="15872FC3">
            <w:pPr>
              <w:numPr>
                <w:ilvl w:val="0"/>
                <w:numId w:val="0"/>
              </w:numPr>
              <w:jc w:val="center"/>
              <w:rPr>
                <w:rFonts w:hint="eastAsia"/>
                <w:vertAlign w:val="baseline"/>
                <w:lang w:val="en-US" w:eastAsia="zh-CN"/>
              </w:rPr>
            </w:pPr>
          </w:p>
          <w:p w14:paraId="39CE7432">
            <w:pPr>
              <w:numPr>
                <w:ilvl w:val="0"/>
                <w:numId w:val="0"/>
              </w:numPr>
              <w:jc w:val="center"/>
              <w:rPr>
                <w:rFonts w:hint="default" w:eastAsia="宋体"/>
                <w:vertAlign w:val="baseline"/>
                <w:lang w:val="en-US" w:eastAsia="zh-CN"/>
              </w:rPr>
            </w:pPr>
            <w:r>
              <w:rPr>
                <w:rFonts w:hint="eastAsia"/>
                <w:vertAlign w:val="baseline"/>
                <w:lang w:val="en-US" w:eastAsia="zh-CN"/>
              </w:rPr>
              <w:t>33</w:t>
            </w:r>
          </w:p>
        </w:tc>
        <w:tc>
          <w:tcPr>
            <w:tcW w:w="2439" w:type="dxa"/>
            <w:noWrap w:val="0"/>
            <w:vAlign w:val="top"/>
          </w:tcPr>
          <w:p w14:paraId="01A8B25E">
            <w:pPr>
              <w:numPr>
                <w:ilvl w:val="0"/>
                <w:numId w:val="0"/>
              </w:numPr>
              <w:rPr>
                <w:rFonts w:hint="eastAsia" w:ascii="宋体" w:hAnsi="宋体" w:eastAsia="宋体" w:cs="宋体"/>
                <w:b w:val="0"/>
                <w:bCs w:val="0"/>
                <w:kern w:val="0"/>
                <w:sz w:val="21"/>
                <w:szCs w:val="21"/>
                <w:lang w:bidi="ar"/>
              </w:rPr>
            </w:pPr>
          </w:p>
          <w:p w14:paraId="6665C292">
            <w:pPr>
              <w:numPr>
                <w:ilvl w:val="0"/>
                <w:numId w:val="0"/>
              </w:numPr>
              <w:rPr>
                <w:rFonts w:hint="default"/>
                <w:b w:val="0"/>
                <w:bCs w:val="0"/>
                <w:vertAlign w:val="baseline"/>
                <w:lang w:val="en-US"/>
              </w:rPr>
            </w:pPr>
            <w:r>
              <w:rPr>
                <w:rFonts w:hint="eastAsia" w:ascii="宋体" w:hAnsi="宋体" w:cs="宋体"/>
                <w:b w:val="0"/>
                <w:bCs w:val="0"/>
                <w:szCs w:val="21"/>
                <w:highlight w:val="none"/>
              </w:rPr>
              <w:t>★</w:t>
            </w:r>
            <w:r>
              <w:rPr>
                <w:rFonts w:hint="eastAsia" w:ascii="宋体" w:hAnsi="宋体" w:eastAsia="宋体" w:cs="宋体"/>
                <w:b w:val="0"/>
                <w:bCs w:val="0"/>
                <w:kern w:val="0"/>
                <w:sz w:val="21"/>
                <w:szCs w:val="21"/>
                <w:lang w:bidi="ar"/>
              </w:rPr>
              <w:t>AI流程配置</w:t>
            </w:r>
          </w:p>
        </w:tc>
        <w:tc>
          <w:tcPr>
            <w:tcW w:w="6442" w:type="dxa"/>
            <w:noWrap w:val="0"/>
            <w:vAlign w:val="top"/>
          </w:tcPr>
          <w:p w14:paraId="4D1885B1">
            <w:pPr>
              <w:numPr>
                <w:ilvl w:val="0"/>
                <w:numId w:val="0"/>
              </w:numPr>
              <w:rPr>
                <w:rFonts w:hint="default"/>
                <w:vertAlign w:val="baseline"/>
                <w:lang w:val="en-US"/>
              </w:rPr>
            </w:pPr>
            <w:r>
              <w:rPr>
                <w:rFonts w:hint="eastAsia" w:ascii="宋体" w:hAnsi="宋体" w:eastAsia="宋体" w:cs="宋体"/>
                <w:kern w:val="0"/>
                <w:sz w:val="21"/>
                <w:szCs w:val="21"/>
                <w:lang w:bidi="ar"/>
              </w:rPr>
              <w:t>AI管理后台直接关联流程引擎，可以批量或者单个同步流程到ai平台生成流程帮办能力。在AI管理后台可以设置流程的能力名称、表单提交方式、关键词、描述等信息，在流程引擎平台可以针对每个表单字段设置是否绑定AI模型。</w:t>
            </w:r>
          </w:p>
        </w:tc>
      </w:tr>
    </w:tbl>
    <w:p w14:paraId="0AED7E0B">
      <w:pPr>
        <w:spacing w:line="360" w:lineRule="auto"/>
        <w:rPr>
          <w:rFonts w:ascii="宋体" w:hAnsi="宋体" w:cs="宋体"/>
          <w:b/>
          <w:bCs/>
          <w:color w:val="auto"/>
          <w:szCs w:val="21"/>
          <w:highlight w:val="none"/>
        </w:rPr>
      </w:pPr>
      <w:r>
        <w:rPr>
          <w:rFonts w:hint="eastAsia" w:ascii="宋体" w:hAnsi="宋体" w:cs="宋体"/>
          <w:b/>
          <w:color w:val="auto"/>
          <w:szCs w:val="21"/>
          <w:highlight w:val="none"/>
          <w:lang w:val="en-US" w:eastAsia="zh-CN" w:bidi="ar"/>
        </w:rPr>
        <w:t>五、</w:t>
      </w:r>
      <w:r>
        <w:rPr>
          <w:rFonts w:hint="eastAsia" w:ascii="宋体" w:hAnsi="宋体" w:cs="宋体"/>
          <w:b/>
          <w:color w:val="auto"/>
          <w:szCs w:val="21"/>
          <w:highlight w:val="none"/>
          <w:lang w:bidi="ar"/>
        </w:rPr>
        <w:t>商务要求</w:t>
      </w:r>
    </w:p>
    <w:p w14:paraId="127D9E63">
      <w:pPr>
        <w:adjustRightInd w:val="0"/>
        <w:snapToGrid w:val="0"/>
        <w:spacing w:line="360" w:lineRule="auto"/>
        <w:ind w:firstLine="420" w:firstLineChars="200"/>
        <w:rPr>
          <w:rFonts w:ascii="宋体" w:hAnsi="宋体" w:cs="宋体"/>
          <w:color w:val="auto"/>
          <w:szCs w:val="21"/>
          <w:highlight w:val="yellow"/>
          <w:lang w:bidi="ar"/>
        </w:rPr>
      </w:pPr>
      <w:r>
        <w:rPr>
          <w:rFonts w:hint="eastAsia" w:ascii="宋体" w:hAnsi="宋体" w:cs="宋体"/>
          <w:color w:val="auto"/>
          <w:szCs w:val="21"/>
          <w:highlight w:val="yellow"/>
          <w:lang w:bidi="ar"/>
        </w:rPr>
        <w:t>▲1、</w:t>
      </w:r>
      <w:r>
        <w:rPr>
          <w:rFonts w:hint="eastAsia" w:ascii="宋体" w:hAnsi="宋体" w:cs="宋体"/>
          <w:color w:val="auto"/>
          <w:szCs w:val="21"/>
          <w:highlight w:val="yellow"/>
          <w:lang w:eastAsia="zh-CN" w:bidi="ar"/>
        </w:rPr>
        <w:t>履约期限</w:t>
      </w:r>
      <w:r>
        <w:rPr>
          <w:rFonts w:hint="eastAsia" w:ascii="宋体" w:hAnsi="宋体" w:cs="宋体"/>
          <w:color w:val="auto"/>
          <w:szCs w:val="21"/>
          <w:highlight w:val="yellow"/>
          <w:lang w:bidi="ar"/>
        </w:rPr>
        <w:t>：</w:t>
      </w:r>
      <w:r>
        <w:rPr>
          <w:rFonts w:hint="eastAsia" w:ascii="宋体" w:hAnsi="宋体" w:cs="宋体"/>
          <w:color w:val="auto"/>
          <w:szCs w:val="21"/>
          <w:highlight w:val="yellow"/>
          <w:lang w:val="en-US" w:eastAsia="zh-CN" w:bidi="ar"/>
        </w:rPr>
        <w:t>合同签订后3个月内完成</w:t>
      </w:r>
      <w:r>
        <w:rPr>
          <w:rFonts w:hint="eastAsia" w:ascii="宋体" w:hAnsi="宋体" w:cs="宋体"/>
          <w:color w:val="auto"/>
          <w:szCs w:val="21"/>
          <w:highlight w:val="yellow"/>
          <w:lang w:bidi="ar"/>
        </w:rPr>
        <w:t>开发、测试、部署及上线</w:t>
      </w:r>
      <w:r>
        <w:rPr>
          <w:rFonts w:hint="eastAsia" w:ascii="宋体" w:hAnsi="宋体" w:cs="宋体"/>
          <w:color w:val="auto"/>
          <w:szCs w:val="21"/>
          <w:highlight w:val="yellow"/>
          <w:lang w:val="en-US" w:eastAsia="zh-CN" w:bidi="ar"/>
        </w:rPr>
        <w:t>试运行</w:t>
      </w:r>
      <w:r>
        <w:rPr>
          <w:rFonts w:hint="eastAsia" w:ascii="宋体" w:hAnsi="宋体" w:cs="宋体"/>
          <w:color w:val="auto"/>
          <w:szCs w:val="21"/>
          <w:highlight w:val="yellow"/>
          <w:lang w:bidi="ar"/>
        </w:rPr>
        <w:t>，</w:t>
      </w:r>
      <w:r>
        <w:rPr>
          <w:rFonts w:hint="eastAsia" w:ascii="宋体" w:hAnsi="宋体" w:cs="宋体"/>
          <w:color w:val="auto"/>
          <w:szCs w:val="21"/>
          <w:highlight w:val="yellow"/>
          <w:lang w:val="en-US" w:eastAsia="zh-CN" w:bidi="ar"/>
        </w:rPr>
        <w:t>10月10日之前需具备验收条件，</w:t>
      </w:r>
      <w:r>
        <w:rPr>
          <w:rFonts w:hint="eastAsia" w:ascii="宋体" w:hAnsi="宋体" w:cs="宋体"/>
          <w:color w:val="auto"/>
          <w:szCs w:val="21"/>
          <w:highlight w:val="yellow"/>
          <w:lang w:bidi="ar"/>
        </w:rPr>
        <w:t>通过</w:t>
      </w:r>
      <w:r>
        <w:rPr>
          <w:rFonts w:hint="eastAsia" w:ascii="宋体" w:hAnsi="宋体" w:cs="宋体"/>
          <w:color w:val="auto"/>
          <w:szCs w:val="21"/>
          <w:highlight w:val="yellow"/>
          <w:lang w:val="en-US" w:eastAsia="zh-CN" w:bidi="ar"/>
        </w:rPr>
        <w:t>验收</w:t>
      </w:r>
      <w:r>
        <w:rPr>
          <w:rFonts w:hint="eastAsia" w:ascii="宋体" w:hAnsi="宋体" w:cs="宋体"/>
          <w:color w:val="auto"/>
          <w:szCs w:val="21"/>
          <w:highlight w:val="yellow"/>
          <w:lang w:bidi="ar"/>
        </w:rPr>
        <w:t>后进入维护期。</w:t>
      </w:r>
    </w:p>
    <w:p w14:paraId="48A403F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2、交货地点：采购人指定地点。</w:t>
      </w:r>
    </w:p>
    <w:p w14:paraId="7FF0081E">
      <w:pPr>
        <w:snapToGrid w:val="0"/>
        <w:spacing w:line="360" w:lineRule="auto"/>
        <w:ind w:firstLine="420" w:firstLineChars="200"/>
        <w:rPr>
          <w:rFonts w:hint="default" w:ascii="宋体" w:hAnsi="宋体" w:eastAsia="宋体" w:cs="宋体"/>
          <w:color w:val="auto"/>
          <w:szCs w:val="21"/>
          <w:highlight w:val="none"/>
          <w:lang w:val="en-US" w:eastAsia="zh-CN" w:bidi="ar"/>
        </w:rPr>
      </w:pPr>
      <w:bookmarkStart w:id="4" w:name="_Toc3082"/>
      <w:r>
        <w:rPr>
          <w:rFonts w:hint="eastAsia" w:ascii="宋体" w:hAnsi="宋体" w:cs="宋体"/>
          <w:color w:val="auto"/>
          <w:szCs w:val="21"/>
          <w:highlight w:val="none"/>
          <w:lang w:val="en-US" w:eastAsia="zh-CN" w:bidi="ar"/>
        </w:rPr>
        <w:t>3</w:t>
      </w:r>
      <w:r>
        <w:rPr>
          <w:rFonts w:hint="eastAsia" w:ascii="宋体" w:hAnsi="宋体" w:cs="宋体"/>
          <w:color w:val="auto"/>
          <w:szCs w:val="21"/>
          <w:highlight w:val="none"/>
          <w:lang w:bidi="ar"/>
        </w:rPr>
        <w:t>、付款方式</w:t>
      </w:r>
      <w:bookmarkEnd w:id="4"/>
      <w:r>
        <w:rPr>
          <w:rFonts w:hint="eastAsia" w:ascii="宋体" w:hAnsi="宋体" w:cs="宋体"/>
          <w:color w:val="auto"/>
          <w:szCs w:val="21"/>
          <w:highlight w:val="none"/>
          <w:lang w:eastAsia="zh-CN" w:bidi="ar"/>
        </w:rPr>
        <w:t>：</w:t>
      </w:r>
      <w:r>
        <w:rPr>
          <w:rFonts w:hint="eastAsia" w:ascii="宋体" w:hAnsi="宋体" w:cs="宋体"/>
          <w:color w:val="auto"/>
          <w:szCs w:val="21"/>
          <w:highlight w:val="none"/>
          <w:lang w:val="en-US" w:eastAsia="zh-CN" w:bidi="ar"/>
        </w:rPr>
        <w:t>详见合同条款</w:t>
      </w:r>
    </w:p>
    <w:p w14:paraId="4946C72C">
      <w:pPr>
        <w:spacing w:line="360" w:lineRule="auto"/>
      </w:pPr>
      <w:bookmarkStart w:id="5" w:name="_Toc31870"/>
      <w:bookmarkStart w:id="6" w:name="_Toc4244"/>
      <w:r>
        <w:rPr>
          <w:rFonts w:hint="eastAsia" w:ascii="宋体" w:hAnsi="宋体" w:cs="宋体"/>
          <w:b/>
          <w:bCs/>
          <w:color w:val="auto"/>
          <w:szCs w:val="21"/>
          <w:highlight w:val="none"/>
          <w:lang w:val="en-US" w:eastAsia="zh-CN"/>
        </w:rPr>
        <w:t>六</w:t>
      </w:r>
      <w:r>
        <w:rPr>
          <w:rFonts w:hint="eastAsia" w:ascii="宋体" w:hAnsi="宋体" w:cs="宋体"/>
          <w:b/>
          <w:bCs/>
          <w:color w:val="auto"/>
          <w:szCs w:val="21"/>
          <w:highlight w:val="none"/>
        </w:rPr>
        <w:t>、</w:t>
      </w:r>
      <w:r>
        <w:rPr>
          <w:rFonts w:hint="eastAsia" w:ascii="宋体" w:hAnsi="宋体" w:cs="宋体"/>
          <w:b/>
          <w:color w:val="auto"/>
          <w:szCs w:val="21"/>
          <w:highlight w:val="none"/>
          <w:lang w:bidi="ar"/>
        </w:rPr>
        <w:t>服务</w:t>
      </w:r>
      <w:r>
        <w:rPr>
          <w:rFonts w:hint="eastAsia" w:ascii="宋体" w:hAnsi="宋体" w:cs="宋体"/>
          <w:b/>
          <w:bCs/>
          <w:color w:val="auto"/>
          <w:szCs w:val="21"/>
          <w:highlight w:val="none"/>
          <w:lang w:bidi="ar"/>
        </w:rPr>
        <w:t>要求</w:t>
      </w:r>
      <w:bookmarkEnd w:id="5"/>
      <w:r>
        <w:rPr>
          <w:rFonts w:hint="eastAsia" w:ascii="宋体" w:hAnsi="宋体" w:cs="宋体"/>
          <w:color w:val="auto"/>
          <w:szCs w:val="21"/>
          <w:highlight w:val="none"/>
        </w:rPr>
        <w:t>（技术要求里另有注明的以技术要求为准）：</w:t>
      </w:r>
      <w:bookmarkEnd w:id="6"/>
    </w:p>
    <w:tbl>
      <w:tblPr>
        <w:tblStyle w:val="6"/>
        <w:tblW w:w="4999" w:type="pct"/>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1535"/>
        <w:gridCol w:w="6985"/>
      </w:tblGrid>
      <w:tr w14:paraId="20BCEC4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9" w:hRule="atLeast"/>
        </w:trPr>
        <w:tc>
          <w:tcPr>
            <w:tcW w:w="901" w:type="pct"/>
            <w:tcBorders>
              <w:top w:val="single" w:color="auto" w:sz="4" w:space="0"/>
              <w:left w:val="single" w:color="auto" w:sz="4" w:space="0"/>
              <w:bottom w:val="single" w:color="auto" w:sz="4" w:space="0"/>
              <w:right w:val="single" w:color="auto" w:sz="4" w:space="0"/>
            </w:tcBorders>
            <w:noWrap w:val="0"/>
            <w:vAlign w:val="center"/>
          </w:tcPr>
          <w:p w14:paraId="3071ACC7">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安装调试</w:t>
            </w:r>
          </w:p>
        </w:tc>
        <w:tc>
          <w:tcPr>
            <w:tcW w:w="4098" w:type="pct"/>
            <w:tcBorders>
              <w:top w:val="single" w:color="auto" w:sz="4" w:space="0"/>
              <w:left w:val="nil"/>
              <w:bottom w:val="single" w:color="auto" w:sz="4" w:space="0"/>
              <w:right w:val="single" w:color="auto" w:sz="4" w:space="0"/>
            </w:tcBorders>
            <w:noWrap w:val="0"/>
            <w:vAlign w:val="center"/>
          </w:tcPr>
          <w:p w14:paraId="144BB4F6">
            <w:pPr>
              <w:spacing w:line="360" w:lineRule="auto"/>
              <w:jc w:val="both"/>
              <w:rPr>
                <w:rFonts w:ascii="宋体" w:hAnsi="宋体" w:cs="宋体"/>
                <w:color w:val="auto"/>
                <w:szCs w:val="21"/>
                <w:highlight w:val="none"/>
              </w:rPr>
            </w:pPr>
            <w:r>
              <w:rPr>
                <w:rFonts w:hint="eastAsia" w:ascii="宋体" w:hAnsi="宋体" w:cs="宋体"/>
                <w:color w:val="auto"/>
                <w:szCs w:val="21"/>
                <w:highlight w:val="none"/>
                <w:lang w:bidi="ar"/>
              </w:rPr>
              <w:t>1、</w:t>
            </w:r>
            <w:r>
              <w:rPr>
                <w:rFonts w:hint="eastAsia" w:ascii="宋体" w:hAnsi="宋体" w:cs="宋体"/>
                <w:color w:val="auto"/>
                <w:szCs w:val="21"/>
                <w:highlight w:val="none"/>
                <w:lang w:eastAsia="zh-CN" w:bidi="ar"/>
              </w:rPr>
              <w:t>供应商</w:t>
            </w:r>
            <w:r>
              <w:rPr>
                <w:rFonts w:hint="eastAsia" w:ascii="宋体" w:hAnsi="宋体" w:cs="宋体"/>
                <w:color w:val="auto"/>
                <w:szCs w:val="21"/>
                <w:highlight w:val="none"/>
                <w:lang w:bidi="ar"/>
              </w:rPr>
              <w:t>须负责对软件进行安装、调试和其它服务。</w:t>
            </w:r>
            <w:r>
              <w:rPr>
                <w:rFonts w:hint="eastAsia" w:ascii="宋体" w:hAnsi="宋体" w:cs="宋体"/>
                <w:color w:val="auto"/>
                <w:szCs w:val="21"/>
                <w:highlight w:val="none"/>
                <w:lang w:eastAsia="zh-CN" w:bidi="ar"/>
              </w:rPr>
              <w:t>供应商</w:t>
            </w:r>
            <w:r>
              <w:rPr>
                <w:rFonts w:hint="eastAsia" w:ascii="宋体" w:hAnsi="宋体" w:cs="宋体"/>
                <w:color w:val="auto"/>
                <w:szCs w:val="21"/>
                <w:highlight w:val="none"/>
                <w:lang w:bidi="ar"/>
              </w:rPr>
              <w:t>应在接到采购人通知后指派合格的技术人员到指定地点进行安装调试。如因</w:t>
            </w:r>
            <w:r>
              <w:rPr>
                <w:rFonts w:hint="eastAsia" w:ascii="宋体" w:hAnsi="宋体" w:cs="宋体"/>
                <w:color w:val="auto"/>
                <w:szCs w:val="21"/>
                <w:highlight w:val="none"/>
                <w:lang w:eastAsia="zh-CN" w:bidi="ar"/>
              </w:rPr>
              <w:t>供应商</w:t>
            </w:r>
            <w:r>
              <w:rPr>
                <w:rFonts w:hint="eastAsia" w:ascii="宋体" w:hAnsi="宋体" w:cs="宋体"/>
                <w:color w:val="auto"/>
                <w:szCs w:val="21"/>
                <w:highlight w:val="none"/>
                <w:lang w:bidi="ar"/>
              </w:rPr>
              <w:t>责任而造成的延期，所有因安装延期而产生的费用由</w:t>
            </w:r>
            <w:r>
              <w:rPr>
                <w:rFonts w:hint="eastAsia" w:ascii="宋体" w:hAnsi="宋体" w:cs="宋体"/>
                <w:color w:val="auto"/>
                <w:szCs w:val="21"/>
                <w:highlight w:val="none"/>
                <w:lang w:eastAsia="zh-CN" w:bidi="ar"/>
              </w:rPr>
              <w:t>供应商</w:t>
            </w:r>
            <w:r>
              <w:rPr>
                <w:rFonts w:hint="eastAsia" w:ascii="宋体" w:hAnsi="宋体" w:cs="宋体"/>
                <w:color w:val="auto"/>
                <w:szCs w:val="21"/>
                <w:highlight w:val="none"/>
                <w:lang w:bidi="ar"/>
              </w:rPr>
              <w:t>负担。产品到货后，采购人将对软件产品的质量、规格、数量进行检验，如发现软件产品的规格或数量或两者都与合同不符，采购人有权向</w:t>
            </w:r>
            <w:r>
              <w:rPr>
                <w:rFonts w:hint="eastAsia" w:ascii="宋体" w:hAnsi="宋体" w:cs="宋体"/>
                <w:color w:val="auto"/>
                <w:szCs w:val="21"/>
                <w:highlight w:val="none"/>
                <w:lang w:eastAsia="zh-CN" w:bidi="ar"/>
              </w:rPr>
              <w:t>供应商</w:t>
            </w:r>
            <w:r>
              <w:rPr>
                <w:rFonts w:hint="eastAsia" w:ascii="宋体" w:hAnsi="宋体" w:cs="宋体"/>
                <w:color w:val="auto"/>
                <w:szCs w:val="21"/>
                <w:highlight w:val="none"/>
                <w:lang w:bidi="ar"/>
              </w:rPr>
              <w:t>提出索赔。</w:t>
            </w:r>
          </w:p>
          <w:p w14:paraId="0593050C">
            <w:pPr>
              <w:spacing w:line="360" w:lineRule="auto"/>
              <w:jc w:val="both"/>
              <w:rPr>
                <w:rFonts w:ascii="宋体" w:hAnsi="宋体" w:cs="宋体"/>
                <w:color w:val="auto"/>
                <w:szCs w:val="21"/>
                <w:highlight w:val="none"/>
              </w:rPr>
            </w:pPr>
            <w:r>
              <w:rPr>
                <w:rFonts w:hint="eastAsia" w:ascii="宋体" w:hAnsi="宋体" w:cs="宋体"/>
                <w:color w:val="auto"/>
                <w:szCs w:val="21"/>
                <w:highlight w:val="none"/>
                <w:lang w:bidi="ar"/>
              </w:rPr>
              <w:t>2、</w:t>
            </w:r>
            <w:r>
              <w:rPr>
                <w:rFonts w:hint="eastAsia" w:ascii="宋体" w:hAnsi="宋体" w:cs="宋体"/>
                <w:color w:val="auto"/>
                <w:szCs w:val="21"/>
                <w:highlight w:val="none"/>
                <w:lang w:eastAsia="zh-CN" w:bidi="ar"/>
              </w:rPr>
              <w:t>供应商</w:t>
            </w:r>
            <w:r>
              <w:rPr>
                <w:rFonts w:hint="eastAsia" w:ascii="宋体" w:hAnsi="宋体" w:cs="宋体"/>
                <w:color w:val="auto"/>
                <w:szCs w:val="21"/>
                <w:highlight w:val="none"/>
                <w:lang w:bidi="ar"/>
              </w:rPr>
              <w:t>人员在现场安装调试培训期间，其食宿、交通等费用均自行承担。</w:t>
            </w:r>
          </w:p>
          <w:p w14:paraId="2C6A0812">
            <w:pPr>
              <w:spacing w:line="360" w:lineRule="auto"/>
              <w:jc w:val="both"/>
              <w:rPr>
                <w:rFonts w:ascii="宋体" w:hAnsi="宋体" w:cs="宋体"/>
                <w:color w:val="auto"/>
                <w:kern w:val="0"/>
                <w:szCs w:val="21"/>
                <w:highlight w:val="none"/>
              </w:rPr>
            </w:pPr>
            <w:r>
              <w:rPr>
                <w:rFonts w:hint="eastAsia" w:ascii="宋体" w:hAnsi="宋体" w:cs="宋体"/>
                <w:color w:val="auto"/>
                <w:szCs w:val="21"/>
                <w:highlight w:val="none"/>
                <w:lang w:bidi="ar"/>
              </w:rPr>
              <w:t>3、</w:t>
            </w:r>
            <w:r>
              <w:rPr>
                <w:rFonts w:hint="eastAsia" w:ascii="宋体" w:hAnsi="宋体" w:cs="宋体"/>
                <w:color w:val="auto"/>
                <w:szCs w:val="21"/>
                <w:highlight w:val="none"/>
                <w:lang w:eastAsia="zh-CN" w:bidi="ar"/>
              </w:rPr>
              <w:t>供应商</w:t>
            </w:r>
            <w:r>
              <w:rPr>
                <w:rFonts w:hint="eastAsia" w:ascii="宋体" w:hAnsi="宋体" w:cs="宋体"/>
                <w:color w:val="auto"/>
                <w:szCs w:val="21"/>
                <w:highlight w:val="none"/>
                <w:lang w:bidi="ar"/>
              </w:rPr>
              <w:t>在</w:t>
            </w:r>
            <w:r>
              <w:rPr>
                <w:rFonts w:hint="eastAsia" w:ascii="宋体" w:hAnsi="宋体" w:cs="宋体"/>
                <w:color w:val="auto"/>
                <w:szCs w:val="21"/>
                <w:highlight w:val="none"/>
                <w:lang w:eastAsia="zh-CN" w:bidi="ar"/>
              </w:rPr>
              <w:t>响应文件</w:t>
            </w:r>
            <w:r>
              <w:rPr>
                <w:rFonts w:hint="eastAsia" w:ascii="宋体" w:hAnsi="宋体" w:cs="宋体"/>
                <w:color w:val="auto"/>
                <w:szCs w:val="21"/>
                <w:highlight w:val="none"/>
                <w:lang w:bidi="ar"/>
              </w:rPr>
              <w:t>中应提供安装调试计划、对安装场地和环境的要求。</w:t>
            </w:r>
          </w:p>
        </w:tc>
      </w:tr>
      <w:tr w14:paraId="0D5BC26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4" w:hRule="atLeast"/>
        </w:trPr>
        <w:tc>
          <w:tcPr>
            <w:tcW w:w="901" w:type="pct"/>
            <w:tcBorders>
              <w:top w:val="single" w:color="auto" w:sz="4" w:space="0"/>
              <w:left w:val="single" w:color="auto" w:sz="4" w:space="0"/>
              <w:bottom w:val="single" w:color="auto" w:sz="4" w:space="0"/>
              <w:right w:val="single" w:color="auto" w:sz="4" w:space="0"/>
            </w:tcBorders>
            <w:noWrap w:val="0"/>
            <w:vAlign w:val="center"/>
          </w:tcPr>
          <w:p w14:paraId="76245C56">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售后服务</w:t>
            </w:r>
          </w:p>
        </w:tc>
        <w:tc>
          <w:tcPr>
            <w:tcW w:w="4098" w:type="pct"/>
            <w:tcBorders>
              <w:top w:val="single" w:color="auto" w:sz="4" w:space="0"/>
              <w:left w:val="nil"/>
              <w:bottom w:val="single" w:color="auto" w:sz="4" w:space="0"/>
              <w:right w:val="single" w:color="auto" w:sz="4" w:space="0"/>
            </w:tcBorders>
            <w:noWrap w:val="0"/>
            <w:vAlign w:val="center"/>
          </w:tcPr>
          <w:p w14:paraId="37B74418">
            <w:pPr>
              <w:spacing w:line="360" w:lineRule="auto"/>
              <w:jc w:val="both"/>
              <w:rPr>
                <w:rFonts w:ascii="宋体" w:hAnsi="宋体" w:cs="宋体"/>
                <w:color w:val="auto"/>
                <w:szCs w:val="21"/>
                <w:highlight w:val="none"/>
              </w:rPr>
            </w:pPr>
            <w:r>
              <w:rPr>
                <w:rFonts w:hint="eastAsia" w:ascii="宋体" w:hAnsi="宋体" w:cs="宋体"/>
                <w:color w:val="auto"/>
                <w:szCs w:val="21"/>
                <w:highlight w:val="none"/>
                <w:lang w:bidi="ar"/>
              </w:rPr>
              <w:t>1、</w:t>
            </w:r>
            <w:r>
              <w:rPr>
                <w:rFonts w:hint="eastAsia" w:ascii="宋体" w:hAnsi="宋体" w:cs="宋体"/>
                <w:color w:val="auto"/>
                <w:szCs w:val="21"/>
                <w:highlight w:val="none"/>
                <w:lang w:val="en-US" w:eastAsia="zh-CN" w:bidi="ar"/>
              </w:rPr>
              <w:t>质保期</w:t>
            </w:r>
            <w:r>
              <w:rPr>
                <w:rFonts w:hint="eastAsia" w:ascii="宋体" w:hAnsi="宋体" w:cs="宋体"/>
                <w:color w:val="auto"/>
                <w:szCs w:val="21"/>
                <w:highlight w:val="none"/>
                <w:lang w:bidi="ar"/>
              </w:rPr>
              <w:t>内，</w:t>
            </w:r>
            <w:r>
              <w:rPr>
                <w:rFonts w:hint="eastAsia" w:ascii="宋体" w:hAnsi="宋体" w:cs="宋体"/>
                <w:color w:val="auto"/>
                <w:szCs w:val="21"/>
                <w:highlight w:val="none"/>
                <w:lang w:eastAsia="zh-CN" w:bidi="ar"/>
              </w:rPr>
              <w:t>供应商</w:t>
            </w:r>
            <w:r>
              <w:rPr>
                <w:rFonts w:hint="eastAsia" w:ascii="宋体" w:hAnsi="宋体" w:cs="宋体"/>
                <w:color w:val="auto"/>
                <w:szCs w:val="21"/>
                <w:highlight w:val="none"/>
                <w:lang w:bidi="ar"/>
              </w:rPr>
              <w:t>负责为采购人的软件提</w:t>
            </w:r>
            <w:r>
              <w:rPr>
                <w:rFonts w:ascii="宋体" w:hAnsi="宋体" w:cs="宋体"/>
                <w:color w:val="auto"/>
                <w:szCs w:val="21"/>
                <w:highlight w:val="none"/>
                <w:lang w:bidi="ar"/>
              </w:rPr>
              <w:t>供版本迭代、优化升级</w:t>
            </w:r>
            <w:r>
              <w:rPr>
                <w:rFonts w:hint="eastAsia" w:ascii="宋体" w:hAnsi="宋体" w:cs="宋体"/>
                <w:color w:val="auto"/>
                <w:szCs w:val="21"/>
                <w:highlight w:val="none"/>
                <w:lang w:bidi="ar"/>
              </w:rPr>
              <w:t>服务，费用包含在投标报价中。质保期内因故障而影响工作的情况每发生一次，其质保期相应延长7天。质保期满前1个月内</w:t>
            </w:r>
            <w:r>
              <w:rPr>
                <w:rFonts w:hint="eastAsia" w:ascii="宋体" w:hAnsi="宋体" w:cs="宋体"/>
                <w:color w:val="auto"/>
                <w:szCs w:val="21"/>
                <w:highlight w:val="none"/>
                <w:lang w:eastAsia="zh-CN" w:bidi="ar"/>
              </w:rPr>
              <w:t>供应商</w:t>
            </w:r>
            <w:r>
              <w:rPr>
                <w:rFonts w:hint="eastAsia" w:ascii="宋体" w:hAnsi="宋体" w:cs="宋体"/>
                <w:color w:val="auto"/>
                <w:szCs w:val="21"/>
                <w:highlight w:val="none"/>
                <w:lang w:bidi="ar"/>
              </w:rPr>
              <w:t>应负责一次全面检查（费用包含在投标总价中），并写出正式报告，如发现潜在问题，应负责排除。</w:t>
            </w:r>
          </w:p>
          <w:p w14:paraId="28FE9751">
            <w:pPr>
              <w:pStyle w:val="3"/>
              <w:widowControl/>
              <w:spacing w:line="36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应提供售后服务，说明具体地点和人员配置。</w:t>
            </w:r>
          </w:p>
        </w:tc>
      </w:tr>
      <w:tr w14:paraId="328CE0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4" w:hRule="atLeast"/>
        </w:trPr>
        <w:tc>
          <w:tcPr>
            <w:tcW w:w="901" w:type="pct"/>
            <w:tcBorders>
              <w:top w:val="single" w:color="auto" w:sz="4" w:space="0"/>
              <w:left w:val="single" w:color="auto" w:sz="4" w:space="0"/>
              <w:bottom w:val="single" w:color="auto" w:sz="4" w:space="0"/>
              <w:right w:val="single" w:color="auto" w:sz="4" w:space="0"/>
            </w:tcBorders>
            <w:noWrap w:val="0"/>
            <w:vAlign w:val="center"/>
          </w:tcPr>
          <w:p w14:paraId="59EFDD35">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服务响应时间</w:t>
            </w:r>
          </w:p>
        </w:tc>
        <w:tc>
          <w:tcPr>
            <w:tcW w:w="4098" w:type="pct"/>
            <w:tcBorders>
              <w:top w:val="single" w:color="auto" w:sz="4" w:space="0"/>
              <w:left w:val="nil"/>
              <w:bottom w:val="single" w:color="auto" w:sz="4" w:space="0"/>
              <w:right w:val="single" w:color="auto" w:sz="4" w:space="0"/>
            </w:tcBorders>
            <w:noWrap w:val="0"/>
            <w:vAlign w:val="center"/>
          </w:tcPr>
          <w:p w14:paraId="382EB6E8">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lang w:bidi="ar"/>
              </w:rPr>
              <w:t>产品出现故障后，</w:t>
            </w:r>
            <w:r>
              <w:rPr>
                <w:rFonts w:hint="eastAsia" w:ascii="宋体" w:hAnsi="宋体" w:cs="宋体"/>
                <w:color w:val="auto"/>
                <w:kern w:val="0"/>
                <w:szCs w:val="21"/>
                <w:highlight w:val="none"/>
                <w:lang w:eastAsia="zh-CN" w:bidi="ar"/>
              </w:rPr>
              <w:t>供应商</w:t>
            </w:r>
            <w:r>
              <w:rPr>
                <w:rFonts w:hint="eastAsia" w:ascii="宋体" w:hAnsi="宋体" w:cs="宋体"/>
                <w:color w:val="auto"/>
                <w:kern w:val="0"/>
                <w:szCs w:val="21"/>
                <w:highlight w:val="none"/>
                <w:lang w:bidi="ar"/>
              </w:rPr>
              <w:t>接到采购人通知应在不超过2小时内做出响应，不超过24个小时内解决故障。</w:t>
            </w:r>
          </w:p>
        </w:tc>
      </w:tr>
      <w:tr w14:paraId="2A87483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4" w:hRule="atLeast"/>
        </w:trPr>
        <w:tc>
          <w:tcPr>
            <w:tcW w:w="901" w:type="pct"/>
            <w:tcBorders>
              <w:top w:val="single" w:color="auto" w:sz="4" w:space="0"/>
              <w:left w:val="single" w:color="auto" w:sz="4" w:space="0"/>
              <w:bottom w:val="single" w:color="auto" w:sz="4" w:space="0"/>
              <w:right w:val="single" w:color="auto" w:sz="4" w:space="0"/>
            </w:tcBorders>
            <w:noWrap w:val="0"/>
            <w:vAlign w:val="center"/>
          </w:tcPr>
          <w:p w14:paraId="1462AFE3">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验收标准</w:t>
            </w:r>
          </w:p>
        </w:tc>
        <w:tc>
          <w:tcPr>
            <w:tcW w:w="4098" w:type="pct"/>
            <w:tcBorders>
              <w:top w:val="single" w:color="auto" w:sz="4" w:space="0"/>
              <w:left w:val="nil"/>
              <w:bottom w:val="single" w:color="auto" w:sz="4" w:space="0"/>
              <w:right w:val="single" w:color="auto" w:sz="4" w:space="0"/>
            </w:tcBorders>
            <w:noWrap w:val="0"/>
            <w:vAlign w:val="center"/>
          </w:tcPr>
          <w:p w14:paraId="6A78CF8D">
            <w:pPr>
              <w:spacing w:line="360" w:lineRule="auto"/>
              <w:rPr>
                <w:rFonts w:ascii="宋体" w:hAnsi="宋体" w:cs="宋体"/>
                <w:color w:val="auto"/>
                <w:szCs w:val="21"/>
                <w:highlight w:val="none"/>
              </w:rPr>
            </w:pPr>
            <w:r>
              <w:rPr>
                <w:rFonts w:hint="eastAsia" w:ascii="宋体" w:hAnsi="宋体" w:cs="宋体"/>
                <w:color w:val="auto"/>
                <w:szCs w:val="21"/>
                <w:highlight w:val="none"/>
                <w:lang w:bidi="ar"/>
              </w:rPr>
              <w:t>1、采购人对</w:t>
            </w:r>
            <w:r>
              <w:rPr>
                <w:rFonts w:hint="eastAsia" w:ascii="宋体" w:hAnsi="宋体" w:cs="宋体"/>
                <w:color w:val="auto"/>
                <w:kern w:val="0"/>
                <w:szCs w:val="21"/>
                <w:highlight w:val="none"/>
                <w:lang w:eastAsia="zh-CN" w:bidi="ar"/>
              </w:rPr>
              <w:t>供应商</w:t>
            </w:r>
            <w:r>
              <w:rPr>
                <w:rFonts w:hint="eastAsia" w:ascii="宋体" w:hAnsi="宋体" w:cs="宋体"/>
                <w:color w:val="auto"/>
                <w:szCs w:val="21"/>
                <w:highlight w:val="none"/>
                <w:lang w:bidi="ar"/>
              </w:rPr>
              <w:t>提交的货物</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val="en-US" w:eastAsia="zh-CN" w:bidi="ar"/>
              </w:rPr>
              <w:t>服务</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bidi="ar"/>
              </w:rPr>
              <w:t>依据采购文件、</w:t>
            </w:r>
            <w:r>
              <w:rPr>
                <w:rFonts w:hint="eastAsia" w:ascii="宋体" w:hAnsi="宋体" w:cs="宋体"/>
                <w:color w:val="auto"/>
                <w:szCs w:val="21"/>
                <w:highlight w:val="none"/>
                <w:lang w:eastAsia="zh-CN" w:bidi="ar"/>
              </w:rPr>
              <w:t>响应文件</w:t>
            </w:r>
            <w:r>
              <w:rPr>
                <w:rFonts w:hint="eastAsia" w:ascii="宋体" w:hAnsi="宋体" w:cs="宋体"/>
                <w:color w:val="auto"/>
                <w:szCs w:val="21"/>
                <w:highlight w:val="none"/>
                <w:lang w:bidi="ar"/>
              </w:rPr>
              <w:t>上的技术规格要求和国家有关质量标准进行验收，说明书符合相关文件技术要求的，给予签收，验收不合格的不予签收。</w:t>
            </w:r>
          </w:p>
          <w:p w14:paraId="020F7F10">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lang w:bidi="ar"/>
              </w:rPr>
              <w:t>2、</w:t>
            </w:r>
            <w:r>
              <w:rPr>
                <w:rFonts w:hint="eastAsia" w:ascii="宋体" w:hAnsi="宋体" w:cs="宋体"/>
                <w:color w:val="auto"/>
                <w:kern w:val="0"/>
                <w:szCs w:val="21"/>
                <w:highlight w:val="none"/>
                <w:lang w:val="en-US" w:eastAsia="zh-CN" w:bidi="ar"/>
              </w:rPr>
              <w:t>采购人</w:t>
            </w:r>
            <w:r>
              <w:rPr>
                <w:rFonts w:hint="eastAsia" w:ascii="宋体" w:hAnsi="宋体" w:cs="宋体"/>
                <w:color w:val="auto"/>
                <w:kern w:val="0"/>
                <w:szCs w:val="21"/>
                <w:highlight w:val="none"/>
                <w:lang w:bidi="ar"/>
              </w:rPr>
              <w:t>使用前</w:t>
            </w:r>
            <w:r>
              <w:rPr>
                <w:rFonts w:hint="eastAsia" w:ascii="宋体" w:hAnsi="宋体" w:cs="宋体"/>
                <w:color w:val="auto"/>
                <w:kern w:val="0"/>
                <w:szCs w:val="21"/>
                <w:highlight w:val="none"/>
                <w:lang w:eastAsia="zh-CN" w:bidi="ar"/>
              </w:rPr>
              <w:t>，供应商</w:t>
            </w:r>
            <w:r>
              <w:rPr>
                <w:rFonts w:hint="eastAsia" w:ascii="宋体" w:hAnsi="宋体" w:cs="宋体"/>
                <w:color w:val="auto"/>
                <w:kern w:val="0"/>
                <w:szCs w:val="21"/>
                <w:highlight w:val="none"/>
                <w:lang w:bidi="ar"/>
              </w:rPr>
              <w:t>提供调试，</w:t>
            </w:r>
            <w:r>
              <w:rPr>
                <w:rFonts w:hint="eastAsia" w:ascii="宋体" w:hAnsi="宋体" w:cs="宋体"/>
                <w:color w:val="auto"/>
                <w:kern w:val="0"/>
                <w:szCs w:val="21"/>
                <w:highlight w:val="none"/>
                <w:lang w:eastAsia="zh-CN" w:bidi="ar"/>
              </w:rPr>
              <w:t>供应商</w:t>
            </w:r>
            <w:r>
              <w:rPr>
                <w:rFonts w:hint="eastAsia" w:ascii="宋体" w:hAnsi="宋体" w:cs="宋体"/>
                <w:color w:val="auto"/>
                <w:kern w:val="0"/>
                <w:szCs w:val="21"/>
                <w:highlight w:val="none"/>
                <w:lang w:bidi="ar"/>
              </w:rPr>
              <w:t>需负责安装并培训采购人的使用操作人员，并协助采购人一起调试，直到符合技术要求，采购人才做最终验收。</w:t>
            </w:r>
          </w:p>
          <w:p w14:paraId="21778709">
            <w:pPr>
              <w:spacing w:line="360" w:lineRule="auto"/>
              <w:rPr>
                <w:rFonts w:hint="eastAsia" w:ascii="宋体" w:hAnsi="宋体" w:eastAsia="宋体" w:cs="宋体"/>
                <w:color w:val="auto"/>
                <w:kern w:val="0"/>
                <w:szCs w:val="21"/>
                <w:highlight w:val="none"/>
                <w:lang w:bidi="ar"/>
              </w:rPr>
            </w:pPr>
            <w:r>
              <w:rPr>
                <w:rFonts w:hint="eastAsia" w:ascii="宋体" w:hAnsi="宋体" w:cs="宋体"/>
                <w:color w:val="auto"/>
                <w:kern w:val="0"/>
                <w:szCs w:val="21"/>
                <w:highlight w:val="none"/>
                <w:lang w:bidi="ar"/>
              </w:rPr>
              <w:t>3、验收</w:t>
            </w:r>
            <w:r>
              <w:rPr>
                <w:rFonts w:hint="eastAsia" w:ascii="宋体" w:hAnsi="宋体" w:eastAsia="宋体" w:cs="宋体"/>
                <w:color w:val="auto"/>
                <w:kern w:val="0"/>
                <w:szCs w:val="21"/>
                <w:highlight w:val="none"/>
                <w:lang w:bidi="ar"/>
              </w:rPr>
              <w:t>时</w:t>
            </w:r>
            <w:r>
              <w:rPr>
                <w:rFonts w:hint="eastAsia" w:ascii="宋体" w:hAnsi="宋体" w:eastAsia="宋体" w:cs="宋体"/>
                <w:color w:val="auto"/>
                <w:kern w:val="0"/>
                <w:szCs w:val="21"/>
                <w:highlight w:val="none"/>
                <w:lang w:eastAsia="zh-CN" w:bidi="ar"/>
              </w:rPr>
              <w:t>供应商</w:t>
            </w:r>
            <w:r>
              <w:rPr>
                <w:rFonts w:hint="eastAsia" w:ascii="宋体" w:hAnsi="宋体" w:eastAsia="宋体" w:cs="宋体"/>
                <w:color w:val="auto"/>
                <w:kern w:val="0"/>
                <w:szCs w:val="21"/>
                <w:highlight w:val="none"/>
                <w:lang w:bidi="ar"/>
              </w:rPr>
              <w:t>必须在现场，验收完毕后作出验收结果报告。</w:t>
            </w:r>
          </w:p>
          <w:p w14:paraId="5FA4120F">
            <w:pPr>
              <w:spacing w:line="360" w:lineRule="auto"/>
              <w:rPr>
                <w:rFonts w:ascii="宋体" w:hAnsi="宋体" w:cs="宋体"/>
                <w:color w:val="auto"/>
                <w:kern w:val="0"/>
                <w:szCs w:val="21"/>
                <w:highlight w:val="none"/>
              </w:rPr>
            </w:pPr>
            <w:r>
              <w:rPr>
                <w:rFonts w:hint="eastAsia" w:ascii="宋体" w:hAnsi="宋体" w:eastAsia="宋体" w:cs="宋体"/>
                <w:color w:val="auto"/>
                <w:kern w:val="0"/>
                <w:szCs w:val="21"/>
                <w:highlight w:val="none"/>
                <w:lang w:bidi="ar"/>
              </w:rPr>
              <w:t>4、采购人对货物</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服务</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质</w:t>
            </w:r>
            <w:r>
              <w:rPr>
                <w:rFonts w:hint="eastAsia" w:ascii="宋体" w:hAnsi="宋体" w:cs="宋体"/>
                <w:color w:val="auto"/>
                <w:kern w:val="0"/>
                <w:szCs w:val="21"/>
                <w:highlight w:val="none"/>
                <w:lang w:bidi="ar"/>
              </w:rPr>
              <w:t>量有重大异议，</w:t>
            </w:r>
            <w:r>
              <w:rPr>
                <w:rFonts w:hint="eastAsia" w:ascii="宋体" w:hAnsi="宋体" w:cs="宋体"/>
                <w:color w:val="auto"/>
                <w:kern w:val="0"/>
                <w:szCs w:val="21"/>
                <w:highlight w:val="none"/>
                <w:lang w:eastAsia="zh-CN" w:bidi="ar"/>
              </w:rPr>
              <w:t>供应商</w:t>
            </w:r>
            <w:r>
              <w:rPr>
                <w:rFonts w:hint="eastAsia" w:ascii="宋体" w:hAnsi="宋体" w:cs="宋体"/>
                <w:color w:val="auto"/>
                <w:kern w:val="0"/>
                <w:szCs w:val="21"/>
                <w:highlight w:val="none"/>
                <w:lang w:bidi="ar"/>
              </w:rPr>
              <w:t>应同意由采购人将货物</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服务</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提交国家法定检测机构鉴定，如检测结果证明产品无质量问题，由采购人承担检测费用；如检测结果证明产品有质量问题，由</w:t>
            </w:r>
            <w:r>
              <w:rPr>
                <w:rFonts w:hint="eastAsia" w:ascii="宋体" w:hAnsi="宋体" w:cs="宋体"/>
                <w:color w:val="auto"/>
                <w:kern w:val="0"/>
                <w:szCs w:val="21"/>
                <w:highlight w:val="none"/>
                <w:lang w:eastAsia="zh-CN" w:bidi="ar"/>
              </w:rPr>
              <w:t>供应商</w:t>
            </w:r>
            <w:r>
              <w:rPr>
                <w:rFonts w:hint="eastAsia" w:ascii="宋体" w:hAnsi="宋体" w:cs="宋体"/>
                <w:color w:val="auto"/>
                <w:kern w:val="0"/>
                <w:szCs w:val="21"/>
                <w:highlight w:val="none"/>
                <w:lang w:bidi="ar"/>
              </w:rPr>
              <w:t>承担检测费用，同时</w:t>
            </w:r>
            <w:r>
              <w:rPr>
                <w:rFonts w:hint="eastAsia" w:ascii="宋体" w:hAnsi="宋体" w:cs="宋体"/>
                <w:color w:val="auto"/>
                <w:kern w:val="0"/>
                <w:szCs w:val="21"/>
                <w:highlight w:val="none"/>
                <w:lang w:eastAsia="zh-CN" w:bidi="ar"/>
              </w:rPr>
              <w:t>供应商</w:t>
            </w:r>
            <w:r>
              <w:rPr>
                <w:rFonts w:hint="eastAsia" w:ascii="宋体" w:hAnsi="宋体" w:cs="宋体"/>
                <w:color w:val="auto"/>
                <w:kern w:val="0"/>
                <w:szCs w:val="21"/>
                <w:highlight w:val="none"/>
                <w:lang w:bidi="ar"/>
              </w:rPr>
              <w:t>同意采购人无条件退货并合同条款支付违约赔偿金。</w:t>
            </w:r>
          </w:p>
          <w:p w14:paraId="18BD4C3F">
            <w:pPr>
              <w:spacing w:line="360" w:lineRule="auto"/>
              <w:rPr>
                <w:rFonts w:ascii="宋体" w:hAnsi="宋体" w:cs="宋体"/>
                <w:color w:val="auto"/>
                <w:szCs w:val="21"/>
                <w:highlight w:val="none"/>
              </w:rPr>
            </w:pPr>
            <w:r>
              <w:rPr>
                <w:rFonts w:hint="eastAsia" w:ascii="宋体" w:hAnsi="宋体" w:cs="宋体"/>
                <w:color w:val="auto"/>
                <w:kern w:val="0"/>
                <w:szCs w:val="21"/>
                <w:highlight w:val="none"/>
                <w:lang w:bidi="ar"/>
              </w:rPr>
              <w:t>5、合格</w:t>
            </w:r>
            <w:r>
              <w:rPr>
                <w:rFonts w:hint="eastAsia" w:ascii="宋体" w:hAnsi="宋体" w:cs="宋体"/>
                <w:color w:val="auto"/>
                <w:szCs w:val="21"/>
                <w:highlight w:val="none"/>
                <w:lang w:bidi="ar"/>
              </w:rPr>
              <w:t>与否以采购人验收报告为准。</w:t>
            </w:r>
          </w:p>
        </w:tc>
      </w:tr>
      <w:tr w14:paraId="45EA31A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4" w:hRule="atLeast"/>
        </w:trPr>
        <w:tc>
          <w:tcPr>
            <w:tcW w:w="901" w:type="pct"/>
            <w:tcBorders>
              <w:top w:val="single" w:color="auto" w:sz="4" w:space="0"/>
              <w:left w:val="single" w:color="auto" w:sz="4" w:space="0"/>
              <w:bottom w:val="single" w:color="auto" w:sz="4" w:space="0"/>
              <w:right w:val="single" w:color="auto" w:sz="4" w:space="0"/>
            </w:tcBorders>
            <w:noWrap w:val="0"/>
            <w:vAlign w:val="center"/>
          </w:tcPr>
          <w:p w14:paraId="16F11218">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培训</w:t>
            </w:r>
          </w:p>
        </w:tc>
        <w:tc>
          <w:tcPr>
            <w:tcW w:w="4098" w:type="pct"/>
            <w:tcBorders>
              <w:top w:val="single" w:color="auto" w:sz="4" w:space="0"/>
              <w:left w:val="nil"/>
              <w:bottom w:val="single" w:color="auto" w:sz="4" w:space="0"/>
              <w:right w:val="single" w:color="auto" w:sz="4" w:space="0"/>
            </w:tcBorders>
            <w:noWrap w:val="0"/>
            <w:vAlign w:val="center"/>
          </w:tcPr>
          <w:p w14:paraId="2A9BA102">
            <w:pPr>
              <w:spacing w:line="360" w:lineRule="auto"/>
              <w:rPr>
                <w:rFonts w:ascii="宋体" w:hAnsi="宋体" w:cs="宋体"/>
                <w:color w:val="auto"/>
                <w:szCs w:val="21"/>
                <w:highlight w:val="none"/>
              </w:rPr>
            </w:pPr>
            <w:r>
              <w:rPr>
                <w:rFonts w:hint="eastAsia" w:ascii="宋体" w:hAnsi="宋体" w:cs="宋体"/>
                <w:color w:val="auto"/>
                <w:szCs w:val="21"/>
                <w:highlight w:val="none"/>
                <w:lang w:bidi="ar"/>
              </w:rPr>
              <w:t>1、</w:t>
            </w:r>
            <w:r>
              <w:rPr>
                <w:rFonts w:hint="eastAsia" w:ascii="宋体" w:hAnsi="宋体" w:cs="宋体"/>
                <w:color w:val="auto"/>
                <w:szCs w:val="21"/>
                <w:highlight w:val="none"/>
                <w:lang w:eastAsia="zh-CN" w:bidi="ar"/>
              </w:rPr>
              <w:t>供应商</w:t>
            </w:r>
            <w:r>
              <w:rPr>
                <w:rFonts w:hint="eastAsia" w:ascii="宋体" w:hAnsi="宋体" w:cs="宋体"/>
                <w:color w:val="auto"/>
                <w:szCs w:val="21"/>
                <w:highlight w:val="none"/>
                <w:lang w:bidi="ar"/>
              </w:rPr>
              <w:t>应对采购人的操作人员、维修人员进行培训，费用包含在投标总价中。</w:t>
            </w:r>
          </w:p>
          <w:p w14:paraId="46849CE7">
            <w:pPr>
              <w:spacing w:line="360" w:lineRule="auto"/>
              <w:rPr>
                <w:rFonts w:ascii="宋体" w:hAnsi="宋体" w:cs="宋体"/>
                <w:color w:val="auto"/>
                <w:szCs w:val="21"/>
                <w:highlight w:val="none"/>
              </w:rPr>
            </w:pPr>
            <w:r>
              <w:rPr>
                <w:rFonts w:hint="eastAsia" w:ascii="宋体" w:hAnsi="宋体" w:cs="宋体"/>
                <w:color w:val="auto"/>
                <w:szCs w:val="21"/>
                <w:highlight w:val="none"/>
                <w:lang w:bidi="ar"/>
              </w:rPr>
              <w:t>2、</w:t>
            </w:r>
            <w:r>
              <w:rPr>
                <w:rFonts w:hint="eastAsia" w:ascii="宋体" w:hAnsi="宋体" w:cs="宋体"/>
                <w:color w:val="auto"/>
                <w:szCs w:val="21"/>
                <w:highlight w:val="none"/>
                <w:lang w:eastAsia="zh-CN" w:bidi="ar"/>
              </w:rPr>
              <w:t>供应商</w:t>
            </w:r>
            <w:r>
              <w:rPr>
                <w:rFonts w:hint="eastAsia" w:ascii="宋体" w:hAnsi="宋体" w:cs="宋体"/>
                <w:color w:val="auto"/>
                <w:szCs w:val="21"/>
                <w:highlight w:val="none"/>
                <w:lang w:bidi="ar"/>
              </w:rPr>
              <w:t>应提供相应的培训计划。</w:t>
            </w:r>
          </w:p>
          <w:p w14:paraId="7D8C0C5F">
            <w:pPr>
              <w:spacing w:line="360" w:lineRule="auto"/>
              <w:rPr>
                <w:rFonts w:ascii="宋体" w:hAnsi="宋体" w:cs="宋体"/>
                <w:color w:val="auto"/>
                <w:szCs w:val="21"/>
                <w:highlight w:val="none"/>
              </w:rPr>
            </w:pPr>
            <w:r>
              <w:rPr>
                <w:rFonts w:hint="eastAsia" w:ascii="宋体" w:hAnsi="宋体" w:cs="宋体"/>
                <w:color w:val="auto"/>
                <w:szCs w:val="21"/>
                <w:highlight w:val="none"/>
                <w:lang w:bidi="ar"/>
              </w:rPr>
              <w:t>3、</w:t>
            </w:r>
            <w:r>
              <w:rPr>
                <w:rFonts w:hint="eastAsia" w:ascii="宋体" w:hAnsi="宋体" w:cs="宋体"/>
                <w:color w:val="auto"/>
                <w:szCs w:val="21"/>
                <w:highlight w:val="none"/>
                <w:lang w:eastAsia="zh-CN" w:bidi="ar"/>
              </w:rPr>
              <w:t>供应商</w:t>
            </w:r>
            <w:r>
              <w:rPr>
                <w:rFonts w:hint="eastAsia" w:ascii="宋体" w:hAnsi="宋体" w:cs="宋体"/>
                <w:color w:val="auto"/>
                <w:szCs w:val="21"/>
                <w:highlight w:val="none"/>
                <w:lang w:bidi="ar"/>
              </w:rPr>
              <w:t>应对上述内容的实现方式、地点、人数、时间在</w:t>
            </w:r>
            <w:r>
              <w:rPr>
                <w:rFonts w:hint="eastAsia" w:ascii="宋体" w:hAnsi="宋体" w:cs="宋体"/>
                <w:color w:val="auto"/>
                <w:szCs w:val="21"/>
                <w:highlight w:val="none"/>
                <w:lang w:eastAsia="zh-CN" w:bidi="ar"/>
              </w:rPr>
              <w:t>响应文件</w:t>
            </w:r>
            <w:r>
              <w:rPr>
                <w:rFonts w:hint="eastAsia" w:ascii="宋体" w:hAnsi="宋体" w:cs="宋体"/>
                <w:color w:val="auto"/>
                <w:szCs w:val="21"/>
                <w:highlight w:val="none"/>
                <w:lang w:bidi="ar"/>
              </w:rPr>
              <w:t>中详细说明。</w:t>
            </w:r>
          </w:p>
        </w:tc>
      </w:tr>
    </w:tbl>
    <w:p w14:paraId="2FC1BB1C">
      <w:pPr>
        <w:rPr>
          <w:rFonts w:hint="default"/>
          <w:lang w:val="en-US" w:eastAsia="zh-CN"/>
        </w:rPr>
      </w:pPr>
    </w:p>
    <w:p w14:paraId="290443B1">
      <w:pPr>
        <w:pStyle w:val="2"/>
        <w:rPr>
          <w:rFonts w:hint="default"/>
          <w:lang w:val="en-US" w:eastAsia="zh-CN"/>
        </w:rPr>
      </w:pPr>
    </w:p>
    <w:p w14:paraId="0B747B48">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1C478"/>
    <w:multiLevelType w:val="singleLevel"/>
    <w:tmpl w:val="00E1C478"/>
    <w:lvl w:ilvl="0" w:tentative="0">
      <w:start w:val="3"/>
      <w:numFmt w:val="decimal"/>
      <w:suff w:val="space"/>
      <w:lvlText w:val="%1."/>
      <w:lvlJc w:val="left"/>
    </w:lvl>
  </w:abstractNum>
  <w:abstractNum w:abstractNumId="1">
    <w:nsid w:val="6675D123"/>
    <w:multiLevelType w:val="singleLevel"/>
    <w:tmpl w:val="6675D123"/>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A45400"/>
    <w:rsid w:val="48A45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w:basedOn w:val="1"/>
    <w:next w:val="1"/>
    <w:qFormat/>
    <w:uiPriority w:val="0"/>
    <w:pPr>
      <w:ind w:left="480" w:hanging="480" w:hangingChars="200"/>
    </w:pPr>
    <w:rPr>
      <w:sz w:val="24"/>
    </w:rPr>
  </w:style>
  <w:style w:type="paragraph" w:styleId="3">
    <w:name w:val="Body Text"/>
    <w:basedOn w:val="1"/>
    <w:qFormat/>
    <w:uiPriority w:val="0"/>
    <w:pPr>
      <w:spacing w:after="120"/>
    </w:pPr>
  </w:style>
  <w:style w:type="paragraph" w:styleId="4">
    <w:name w:val="toc 6"/>
    <w:basedOn w:val="1"/>
    <w:next w:val="1"/>
    <w:qFormat/>
    <w:uiPriority w:val="0"/>
    <w:pPr>
      <w:spacing w:line="360" w:lineRule="auto"/>
      <w:ind w:left="1200" w:firstLine="200" w:firstLineChars="200"/>
      <w:jc w:val="left"/>
    </w:pPr>
    <w:rPr>
      <w:rFonts w:cs="Calibri"/>
      <w:sz w:val="18"/>
      <w:szCs w:val="18"/>
    </w:rPr>
  </w:style>
  <w:style w:type="paragraph" w:styleId="5">
    <w:name w:val="Body Text First Indent"/>
    <w:basedOn w:val="3"/>
    <w:next w:val="4"/>
    <w:qFormat/>
    <w:uiPriority w:val="0"/>
    <w:pPr>
      <w:autoSpaceDE w:val="0"/>
      <w:autoSpaceDN w:val="0"/>
      <w:adjustRightInd w:val="0"/>
      <w:ind w:firstLine="420" w:firstLineChars="100"/>
      <w:jc w:val="left"/>
    </w:pPr>
    <w:rPr>
      <w:rFonts w:ascii="仿宋_GB2312"/>
      <w:b/>
      <w:kern w:val="0"/>
      <w:sz w:val="32"/>
      <w:szCs w:val="32"/>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9">
    <w:name w:val="样式 28 10 磅"/>
    <w:qFormat/>
    <w:uiPriority w:val="0"/>
    <w:pPr>
      <w:widowControl w:val="0"/>
      <w:jc w:val="both"/>
    </w:pPr>
    <w:rPr>
      <w:rFonts w:ascii="Calibri" w:hAnsi="Calibri" w:eastAsia="宋体" w:cs="Arial"/>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2026-07-08T06:44:00Z</dcterms:created>
  <dc:creator>Tom</dc:creator>
  <cp:lastModifiedBy>Tom</cp:lastModifiedBy>
  <dcterms:modified xsi:type="dcterms:W3CDTF">2026-07-08T06:45:30Z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B0B892672BEB4080AFA6E90552A1BFDF_11</vt:lpwstr>
  </property>
  <property fmtid="{D5CDD505-2E9C-101B-9397-08002B2CF9AE}" pid="4" name="KSOTemplateDocerSaveRecord">
    <vt:lpwstr>eyJoZGlkIjoiZDU2NDVhZTNhOGUwYmExOWE0MTkyMzYyMjJlN2MxYmUiLCJ1c2VySWQiOiIyNzk2NTYzMzgifQ==</vt:lpwstr>
  </property>
</Properties>
</file>