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D61E4">
      <w:pPr>
        <w:widowControl/>
        <w:autoSpaceDE w:val="0"/>
        <w:autoSpaceDN w:val="0"/>
        <w:adjustRightInd w:val="0"/>
        <w:spacing w:line="460" w:lineRule="atLeast"/>
        <w:ind w:firstLine="440" w:firstLineChars="200"/>
        <w:textAlignment w:val="bottom"/>
        <w:rPr>
          <w:rFonts w:hint="eastAsia" w:ascii="宋体" w:hAnsi="宋体"/>
          <w:b/>
          <w:bCs/>
          <w:color w:val="auto"/>
          <w:sz w:val="22"/>
          <w:u w:val="none"/>
          <w:lang w:val="en-US" w:eastAsia="zh-CN"/>
        </w:rPr>
      </w:pPr>
      <w:r>
        <w:rPr>
          <w:rFonts w:hint="eastAsia" w:ascii="宋体" w:hAnsi="宋体"/>
          <w:b/>
          <w:bCs/>
          <w:color w:val="auto"/>
          <w:sz w:val="22"/>
          <w:u w:val="none"/>
          <w:lang w:val="en-US" w:eastAsia="zh-CN"/>
        </w:rPr>
        <w:t>（一）采购清单</w:t>
      </w:r>
    </w:p>
    <w:tbl>
      <w:tblPr>
        <w:tblStyle w:val="7"/>
        <w:tblpPr w:leftFromText="180" w:rightFromText="180" w:vertAnchor="text" w:horzAnchor="page" w:tblpXSpec="center" w:tblpY="82"/>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902"/>
        <w:gridCol w:w="2839"/>
        <w:gridCol w:w="1295"/>
        <w:gridCol w:w="1425"/>
        <w:gridCol w:w="1216"/>
      </w:tblGrid>
      <w:tr w14:paraId="1D5B3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71B4D2B7">
            <w:pPr>
              <w:keepNext w:val="0"/>
              <w:keepLines w:val="0"/>
              <w:widowControl/>
              <w:suppressLineNumbers w:val="0"/>
              <w:jc w:val="center"/>
              <w:textAlignment w:val="center"/>
              <w:rPr>
                <w:rFonts w:ascii="宋体" w:hAnsi="宋体"/>
                <w:sz w:val="22"/>
                <w:szCs w:val="22"/>
              </w:rPr>
            </w:pPr>
            <w:r>
              <w:rPr>
                <w:rFonts w:hint="eastAsia" w:ascii="宋体" w:hAnsi="宋体" w:eastAsia="宋体" w:cs="宋体"/>
                <w:b/>
                <w:bCs/>
                <w:i w:val="0"/>
                <w:iCs w:val="0"/>
                <w:color w:val="000000"/>
                <w:kern w:val="0"/>
                <w:sz w:val="22"/>
                <w:szCs w:val="22"/>
                <w:u w:val="none"/>
                <w:lang w:val="en-US" w:eastAsia="zh-CN" w:bidi="ar"/>
              </w:rPr>
              <w:t>序号</w:t>
            </w:r>
          </w:p>
        </w:tc>
        <w:tc>
          <w:tcPr>
            <w:tcW w:w="1902" w:type="dxa"/>
            <w:tcBorders>
              <w:top w:val="single" w:color="auto" w:sz="4" w:space="0"/>
              <w:left w:val="single" w:color="auto" w:sz="4" w:space="0"/>
              <w:bottom w:val="single" w:color="auto" w:sz="4" w:space="0"/>
              <w:right w:val="single" w:color="auto" w:sz="4" w:space="0"/>
            </w:tcBorders>
            <w:noWrap w:val="0"/>
            <w:vAlign w:val="center"/>
          </w:tcPr>
          <w:p w14:paraId="426DC89E">
            <w:pPr>
              <w:keepNext w:val="0"/>
              <w:keepLines w:val="0"/>
              <w:widowControl/>
              <w:suppressLineNumbers w:val="0"/>
              <w:jc w:val="center"/>
              <w:textAlignment w:val="center"/>
              <w:rPr>
                <w:rFonts w:ascii="宋体" w:hAnsi="宋体"/>
                <w:sz w:val="22"/>
                <w:szCs w:val="22"/>
              </w:rPr>
            </w:pPr>
            <w:r>
              <w:rPr>
                <w:rFonts w:hint="eastAsia" w:ascii="宋体" w:hAnsi="宋体" w:eastAsia="宋体" w:cs="宋体"/>
                <w:b/>
                <w:bCs/>
                <w:i w:val="0"/>
                <w:iCs w:val="0"/>
                <w:color w:val="000000"/>
                <w:kern w:val="0"/>
                <w:sz w:val="22"/>
                <w:szCs w:val="22"/>
                <w:u w:val="none"/>
                <w:lang w:val="en-US" w:eastAsia="zh-CN" w:bidi="ar"/>
              </w:rPr>
              <w:t>物品名称</w:t>
            </w:r>
          </w:p>
        </w:tc>
        <w:tc>
          <w:tcPr>
            <w:tcW w:w="2839" w:type="dxa"/>
            <w:tcBorders>
              <w:top w:val="single" w:color="auto" w:sz="4" w:space="0"/>
              <w:left w:val="single" w:color="auto" w:sz="4" w:space="0"/>
              <w:bottom w:val="single" w:color="auto" w:sz="4" w:space="0"/>
              <w:right w:val="single" w:color="auto" w:sz="4" w:space="0"/>
            </w:tcBorders>
            <w:noWrap w:val="0"/>
            <w:vAlign w:val="center"/>
          </w:tcPr>
          <w:p w14:paraId="6ADF901A">
            <w:pPr>
              <w:keepNext w:val="0"/>
              <w:keepLines w:val="0"/>
              <w:widowControl/>
              <w:suppressLineNumbers w:val="0"/>
              <w:jc w:val="center"/>
              <w:textAlignment w:val="center"/>
              <w:rPr>
                <w:rFonts w:hint="default" w:ascii="宋体" w:hAnsi="宋体" w:eastAsia="宋体"/>
                <w:sz w:val="22"/>
                <w:szCs w:val="22"/>
                <w:lang w:val="en-US" w:eastAsia="zh-CN"/>
              </w:rPr>
            </w:pPr>
            <w:r>
              <w:rPr>
                <w:rFonts w:hint="eastAsia" w:ascii="宋体" w:hAnsi="宋体"/>
                <w:sz w:val="22"/>
                <w:szCs w:val="22"/>
                <w:lang w:val="en-US" w:eastAsia="zh-CN"/>
              </w:rPr>
              <w:t>规格</w:t>
            </w:r>
          </w:p>
        </w:tc>
        <w:tc>
          <w:tcPr>
            <w:tcW w:w="1295" w:type="dxa"/>
            <w:tcBorders>
              <w:top w:val="single" w:color="auto" w:sz="4" w:space="0"/>
              <w:left w:val="single" w:color="auto" w:sz="4" w:space="0"/>
              <w:bottom w:val="single" w:color="auto" w:sz="4" w:space="0"/>
              <w:right w:val="single" w:color="auto" w:sz="4" w:space="0"/>
            </w:tcBorders>
            <w:noWrap w:val="0"/>
            <w:vAlign w:val="center"/>
          </w:tcPr>
          <w:p w14:paraId="68BB5BDF">
            <w:pPr>
              <w:keepNext w:val="0"/>
              <w:keepLines w:val="0"/>
              <w:widowControl/>
              <w:suppressLineNumbers w:val="0"/>
              <w:jc w:val="center"/>
              <w:textAlignment w:val="center"/>
              <w:rPr>
                <w:rFonts w:hint="eastAsia" w:ascii="宋体" w:hAnsi="宋体" w:cs="宋体"/>
                <w:kern w:val="2"/>
                <w:sz w:val="22"/>
                <w:szCs w:val="22"/>
                <w:lang w:val="en-US" w:eastAsia="zh-CN" w:bidi="ar-SA"/>
              </w:rPr>
            </w:pPr>
            <w:r>
              <w:rPr>
                <w:rFonts w:hint="eastAsia" w:ascii="宋体" w:hAnsi="宋体" w:eastAsia="宋体" w:cs="宋体"/>
                <w:b/>
                <w:bCs/>
                <w:i w:val="0"/>
                <w:iCs w:val="0"/>
                <w:color w:val="000000"/>
                <w:kern w:val="0"/>
                <w:sz w:val="22"/>
                <w:szCs w:val="22"/>
                <w:u w:val="none"/>
                <w:lang w:val="en-US" w:eastAsia="zh-CN" w:bidi="ar"/>
              </w:rPr>
              <w:t>单位</w:t>
            </w:r>
          </w:p>
        </w:tc>
        <w:tc>
          <w:tcPr>
            <w:tcW w:w="1425" w:type="dxa"/>
            <w:tcBorders>
              <w:top w:val="single" w:color="auto" w:sz="4" w:space="0"/>
              <w:left w:val="single" w:color="auto" w:sz="4" w:space="0"/>
              <w:bottom w:val="single" w:color="auto" w:sz="4" w:space="0"/>
              <w:right w:val="single" w:color="auto" w:sz="4" w:space="0"/>
            </w:tcBorders>
            <w:noWrap w:val="0"/>
            <w:vAlign w:val="center"/>
          </w:tcPr>
          <w:p w14:paraId="6E487D9A">
            <w:pPr>
              <w:keepNext w:val="0"/>
              <w:keepLines w:val="0"/>
              <w:widowControl/>
              <w:suppressLineNumbers w:val="0"/>
              <w:jc w:val="center"/>
              <w:textAlignment w:val="center"/>
              <w:rPr>
                <w:rFonts w:ascii="宋体" w:hAnsi="宋体"/>
                <w:sz w:val="22"/>
                <w:szCs w:val="22"/>
              </w:rPr>
            </w:pPr>
            <w:r>
              <w:rPr>
                <w:rFonts w:hint="eastAsia" w:ascii="宋体" w:hAnsi="宋体" w:eastAsia="宋体" w:cs="宋体"/>
                <w:b/>
                <w:bCs/>
                <w:i w:val="0"/>
                <w:iCs w:val="0"/>
                <w:color w:val="000000"/>
                <w:kern w:val="0"/>
                <w:sz w:val="22"/>
                <w:szCs w:val="22"/>
                <w:u w:val="none"/>
                <w:lang w:val="en-US" w:eastAsia="zh-CN" w:bidi="ar"/>
              </w:rPr>
              <w:t>数量</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70D00E84">
            <w:pPr>
              <w:keepNext w:val="0"/>
              <w:keepLines w:val="0"/>
              <w:widowControl/>
              <w:suppressLineNumbers w:val="0"/>
              <w:jc w:val="center"/>
              <w:textAlignment w:val="center"/>
              <w:rPr>
                <w:rFonts w:hint="eastAsia" w:ascii="宋体" w:hAnsi="宋体" w:eastAsia="宋体"/>
                <w:sz w:val="22"/>
                <w:szCs w:val="22"/>
                <w:lang w:val="en-US" w:eastAsia="zh-CN"/>
              </w:rPr>
            </w:pPr>
            <w:r>
              <w:rPr>
                <w:rFonts w:hint="eastAsia" w:ascii="宋体" w:hAnsi="宋体"/>
                <w:sz w:val="22"/>
                <w:szCs w:val="22"/>
                <w:lang w:val="en-US" w:eastAsia="zh-CN"/>
              </w:rPr>
              <w:t>备注</w:t>
            </w:r>
          </w:p>
        </w:tc>
      </w:tr>
      <w:tr w14:paraId="40D8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56906161">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902" w:type="dxa"/>
            <w:tcBorders>
              <w:top w:val="single" w:color="auto" w:sz="4" w:space="0"/>
              <w:left w:val="single" w:color="auto" w:sz="4" w:space="0"/>
              <w:bottom w:val="single" w:color="auto" w:sz="4" w:space="0"/>
              <w:right w:val="single" w:color="auto" w:sz="4" w:space="0"/>
            </w:tcBorders>
            <w:noWrap w:val="0"/>
            <w:vAlign w:val="center"/>
          </w:tcPr>
          <w:p w14:paraId="27D6E6A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窗帘布合计</w:t>
            </w:r>
          </w:p>
        </w:tc>
        <w:tc>
          <w:tcPr>
            <w:tcW w:w="2839" w:type="dxa"/>
            <w:tcBorders>
              <w:top w:val="single" w:color="auto" w:sz="4" w:space="0"/>
              <w:left w:val="single" w:color="auto" w:sz="4" w:space="0"/>
              <w:bottom w:val="single" w:color="auto" w:sz="4" w:space="0"/>
              <w:right w:val="single" w:color="auto" w:sz="4" w:space="0"/>
            </w:tcBorders>
            <w:noWrap w:val="0"/>
            <w:vAlign w:val="center"/>
          </w:tcPr>
          <w:p w14:paraId="384C5F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门幅2.8m</w:t>
            </w:r>
          </w:p>
        </w:tc>
        <w:tc>
          <w:tcPr>
            <w:tcW w:w="1295" w:type="dxa"/>
            <w:tcBorders>
              <w:top w:val="single" w:color="auto" w:sz="4" w:space="0"/>
              <w:left w:val="single" w:color="auto" w:sz="4" w:space="0"/>
              <w:bottom w:val="single" w:color="auto" w:sz="4" w:space="0"/>
              <w:right w:val="single" w:color="auto" w:sz="4" w:space="0"/>
            </w:tcBorders>
            <w:noWrap w:val="0"/>
            <w:vAlign w:val="center"/>
          </w:tcPr>
          <w:p w14:paraId="1A6E416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425" w:type="dxa"/>
            <w:tcBorders>
              <w:top w:val="single" w:color="auto" w:sz="4" w:space="0"/>
              <w:left w:val="single" w:color="auto" w:sz="4" w:space="0"/>
              <w:bottom w:val="single" w:color="auto" w:sz="4" w:space="0"/>
              <w:right w:val="single" w:color="auto" w:sz="4" w:space="0"/>
            </w:tcBorders>
            <w:noWrap w:val="0"/>
            <w:vAlign w:val="center"/>
          </w:tcPr>
          <w:p w14:paraId="6B94593E">
            <w:pPr>
              <w:keepNext w:val="0"/>
              <w:keepLines w:val="0"/>
              <w:widowControl/>
              <w:suppressLineNumbers w:val="0"/>
              <w:jc w:val="center"/>
              <w:textAlignment w:val="center"/>
              <w:rPr>
                <w:rFonts w:hint="default" w:ascii="宋体" w:hAnsi="宋体"/>
                <w:b/>
                <w:sz w:val="22"/>
                <w:szCs w:val="22"/>
                <w:lang w:val="en-US"/>
              </w:rPr>
            </w:pPr>
            <w:r>
              <w:rPr>
                <w:rFonts w:hint="eastAsia" w:ascii="Times New Roman" w:hAnsi="Times New Roman" w:eastAsia="宋体" w:cs="Times New Roman"/>
                <w:i w:val="0"/>
                <w:iCs w:val="0"/>
                <w:color w:val="000000"/>
                <w:kern w:val="0"/>
                <w:sz w:val="22"/>
                <w:szCs w:val="22"/>
                <w:u w:val="none"/>
                <w:lang w:val="en-US" w:eastAsia="zh-CN" w:bidi="ar"/>
              </w:rPr>
              <w:t>6869</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45C0ED49">
            <w:pPr>
              <w:keepNext w:val="0"/>
              <w:keepLines w:val="0"/>
              <w:widowControl/>
              <w:suppressLineNumbers w:val="0"/>
              <w:jc w:val="center"/>
              <w:textAlignment w:val="center"/>
              <w:rPr>
                <w:rFonts w:hint="default" w:ascii="宋体" w:hAnsi="宋体"/>
                <w:b/>
                <w:sz w:val="22"/>
                <w:szCs w:val="22"/>
                <w:lang w:val="en-US"/>
              </w:rPr>
            </w:pPr>
          </w:p>
        </w:tc>
      </w:tr>
      <w:tr w14:paraId="7CAB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4F93F6AD">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902" w:type="dxa"/>
            <w:tcBorders>
              <w:top w:val="single" w:color="auto" w:sz="4" w:space="0"/>
              <w:left w:val="single" w:color="auto" w:sz="4" w:space="0"/>
              <w:bottom w:val="single" w:color="auto" w:sz="4" w:space="0"/>
              <w:right w:val="single" w:color="auto" w:sz="4" w:space="0"/>
            </w:tcBorders>
            <w:noWrap w:val="0"/>
            <w:vAlign w:val="center"/>
          </w:tcPr>
          <w:p w14:paraId="3A8823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轨道合计</w:t>
            </w:r>
          </w:p>
        </w:tc>
        <w:tc>
          <w:tcPr>
            <w:tcW w:w="2839" w:type="dxa"/>
            <w:tcBorders>
              <w:top w:val="single" w:color="auto" w:sz="4" w:space="0"/>
              <w:left w:val="single" w:color="auto" w:sz="4" w:space="0"/>
              <w:bottom w:val="single" w:color="auto" w:sz="4" w:space="0"/>
              <w:right w:val="single" w:color="auto" w:sz="4" w:space="0"/>
            </w:tcBorders>
            <w:noWrap w:val="0"/>
            <w:vAlign w:val="center"/>
          </w:tcPr>
          <w:p w14:paraId="585EC4C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轨道2.3*2.5cm</w:t>
            </w:r>
          </w:p>
        </w:tc>
        <w:tc>
          <w:tcPr>
            <w:tcW w:w="1295" w:type="dxa"/>
            <w:tcBorders>
              <w:top w:val="single" w:color="auto" w:sz="4" w:space="0"/>
              <w:left w:val="single" w:color="auto" w:sz="4" w:space="0"/>
              <w:bottom w:val="single" w:color="auto" w:sz="4" w:space="0"/>
              <w:right w:val="single" w:color="auto" w:sz="4" w:space="0"/>
            </w:tcBorders>
            <w:noWrap w:val="0"/>
            <w:vAlign w:val="center"/>
          </w:tcPr>
          <w:p w14:paraId="572812C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425" w:type="dxa"/>
            <w:tcBorders>
              <w:top w:val="single" w:color="auto" w:sz="4" w:space="0"/>
              <w:left w:val="single" w:color="auto" w:sz="4" w:space="0"/>
              <w:bottom w:val="single" w:color="auto" w:sz="4" w:space="0"/>
              <w:right w:val="single" w:color="auto" w:sz="4" w:space="0"/>
            </w:tcBorders>
            <w:noWrap w:val="0"/>
            <w:vAlign w:val="center"/>
          </w:tcPr>
          <w:p w14:paraId="345DD1B5">
            <w:pPr>
              <w:keepNext w:val="0"/>
              <w:keepLines w:val="0"/>
              <w:widowControl/>
              <w:suppressLineNumbers w:val="0"/>
              <w:jc w:val="center"/>
              <w:textAlignment w:val="center"/>
              <w:rPr>
                <w:rFonts w:hint="default" w:ascii="宋体" w:hAnsi="宋体"/>
                <w:b/>
                <w:sz w:val="22"/>
                <w:szCs w:val="22"/>
                <w:lang w:val="en-US"/>
              </w:rPr>
            </w:pPr>
            <w:r>
              <w:rPr>
                <w:rFonts w:hint="eastAsia" w:ascii="Times New Roman" w:hAnsi="Times New Roman" w:eastAsia="宋体" w:cs="Times New Roman"/>
                <w:i w:val="0"/>
                <w:iCs w:val="0"/>
                <w:color w:val="000000"/>
                <w:kern w:val="0"/>
                <w:sz w:val="22"/>
                <w:szCs w:val="22"/>
                <w:u w:val="none"/>
                <w:lang w:val="en-US" w:eastAsia="zh-CN" w:bidi="ar"/>
              </w:rPr>
              <w:t>3414</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65FE5512">
            <w:pPr>
              <w:keepNext w:val="0"/>
              <w:keepLines w:val="0"/>
              <w:widowControl/>
              <w:suppressLineNumbers w:val="0"/>
              <w:jc w:val="center"/>
              <w:textAlignment w:val="center"/>
              <w:rPr>
                <w:rFonts w:ascii="宋体" w:hAnsi="宋体"/>
                <w:b/>
                <w:sz w:val="22"/>
                <w:szCs w:val="22"/>
              </w:rPr>
            </w:pPr>
          </w:p>
        </w:tc>
      </w:tr>
      <w:tr w14:paraId="2FF2A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0" w:type="dxa"/>
            <w:tcBorders>
              <w:top w:val="single" w:color="auto" w:sz="4" w:space="0"/>
              <w:left w:val="single" w:color="auto" w:sz="4" w:space="0"/>
              <w:bottom w:val="single" w:color="auto" w:sz="4" w:space="0"/>
              <w:right w:val="single" w:color="auto" w:sz="4" w:space="0"/>
            </w:tcBorders>
            <w:noWrap w:val="0"/>
            <w:vAlign w:val="center"/>
          </w:tcPr>
          <w:p w14:paraId="2F2DDF67">
            <w:pPr>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902" w:type="dxa"/>
            <w:tcBorders>
              <w:top w:val="single" w:color="auto" w:sz="4" w:space="0"/>
              <w:left w:val="single" w:color="auto" w:sz="4" w:space="0"/>
              <w:bottom w:val="single" w:color="auto" w:sz="4" w:space="0"/>
              <w:right w:val="single" w:color="auto" w:sz="4" w:space="0"/>
            </w:tcBorders>
            <w:noWrap w:val="0"/>
            <w:vAlign w:val="center"/>
          </w:tcPr>
          <w:p w14:paraId="56EE7D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卷帘合计</w:t>
            </w:r>
          </w:p>
        </w:tc>
        <w:tc>
          <w:tcPr>
            <w:tcW w:w="2839" w:type="dxa"/>
            <w:tcBorders>
              <w:top w:val="single" w:color="auto" w:sz="4" w:space="0"/>
              <w:left w:val="single" w:color="auto" w:sz="4" w:space="0"/>
              <w:bottom w:val="single" w:color="auto" w:sz="4" w:space="0"/>
              <w:right w:val="single" w:color="auto" w:sz="4" w:space="0"/>
            </w:tcBorders>
            <w:noWrap w:val="0"/>
            <w:vAlign w:val="center"/>
          </w:tcPr>
          <w:p w14:paraId="2D0CF70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卷帘2m或2.3m</w:t>
            </w:r>
          </w:p>
          <w:p w14:paraId="51D432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门幅</w:t>
            </w:r>
          </w:p>
        </w:tc>
        <w:tc>
          <w:tcPr>
            <w:tcW w:w="1295" w:type="dxa"/>
            <w:tcBorders>
              <w:top w:val="single" w:color="auto" w:sz="4" w:space="0"/>
              <w:left w:val="single" w:color="auto" w:sz="4" w:space="0"/>
              <w:bottom w:val="single" w:color="auto" w:sz="4" w:space="0"/>
              <w:right w:val="single" w:color="auto" w:sz="4" w:space="0"/>
            </w:tcBorders>
            <w:noWrap w:val="0"/>
            <w:vAlign w:val="center"/>
          </w:tcPr>
          <w:p w14:paraId="7EA96F4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平方米</w:t>
            </w:r>
          </w:p>
        </w:tc>
        <w:tc>
          <w:tcPr>
            <w:tcW w:w="1425" w:type="dxa"/>
            <w:tcBorders>
              <w:top w:val="single" w:color="auto" w:sz="4" w:space="0"/>
              <w:left w:val="single" w:color="auto" w:sz="4" w:space="0"/>
              <w:bottom w:val="single" w:color="auto" w:sz="4" w:space="0"/>
              <w:right w:val="single" w:color="auto" w:sz="4" w:space="0"/>
            </w:tcBorders>
            <w:noWrap w:val="0"/>
            <w:vAlign w:val="center"/>
          </w:tcPr>
          <w:p w14:paraId="2E1320D4">
            <w:pPr>
              <w:keepNext w:val="0"/>
              <w:keepLines w:val="0"/>
              <w:widowControl/>
              <w:suppressLineNumbers w:val="0"/>
              <w:jc w:val="center"/>
              <w:textAlignment w:val="center"/>
              <w:rPr>
                <w:rFonts w:ascii="宋体" w:hAnsi="宋体"/>
                <w:b/>
                <w:sz w:val="22"/>
                <w:szCs w:val="22"/>
              </w:rPr>
            </w:pPr>
            <w:r>
              <w:rPr>
                <w:rFonts w:hint="default" w:ascii="Times New Roman" w:hAnsi="Times New Roman" w:eastAsia="宋体" w:cs="Times New Roman"/>
                <w:i w:val="0"/>
                <w:iCs w:val="0"/>
                <w:color w:val="000000"/>
                <w:kern w:val="0"/>
                <w:sz w:val="22"/>
                <w:szCs w:val="22"/>
                <w:u w:val="none"/>
                <w:lang w:val="en-US" w:eastAsia="zh-CN" w:bidi="ar"/>
              </w:rPr>
              <w:t>245</w:t>
            </w:r>
          </w:p>
        </w:tc>
        <w:tc>
          <w:tcPr>
            <w:tcW w:w="1216" w:type="dxa"/>
            <w:tcBorders>
              <w:top w:val="single" w:color="auto" w:sz="4" w:space="0"/>
              <w:left w:val="single" w:color="auto" w:sz="4" w:space="0"/>
              <w:bottom w:val="single" w:color="auto" w:sz="4" w:space="0"/>
              <w:right w:val="single" w:color="auto" w:sz="4" w:space="0"/>
            </w:tcBorders>
            <w:noWrap w:val="0"/>
            <w:vAlign w:val="center"/>
          </w:tcPr>
          <w:p w14:paraId="58F2E44C">
            <w:pPr>
              <w:keepNext w:val="0"/>
              <w:keepLines w:val="0"/>
              <w:widowControl/>
              <w:suppressLineNumbers w:val="0"/>
              <w:jc w:val="center"/>
              <w:textAlignment w:val="center"/>
              <w:rPr>
                <w:rFonts w:hint="default" w:ascii="宋体" w:hAnsi="宋体"/>
                <w:b/>
                <w:sz w:val="22"/>
                <w:szCs w:val="22"/>
                <w:lang w:val="en-US"/>
              </w:rPr>
            </w:pPr>
          </w:p>
        </w:tc>
      </w:tr>
      <w:tr w14:paraId="2212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9577" w:type="dxa"/>
            <w:gridSpan w:val="6"/>
            <w:tcBorders>
              <w:top w:val="single" w:color="auto" w:sz="4" w:space="0"/>
              <w:left w:val="single" w:color="auto" w:sz="4" w:space="0"/>
              <w:bottom w:val="single" w:color="auto" w:sz="4" w:space="0"/>
              <w:right w:val="single" w:color="auto" w:sz="4" w:space="0"/>
            </w:tcBorders>
            <w:noWrap w:val="0"/>
            <w:vAlign w:val="center"/>
          </w:tcPr>
          <w:p w14:paraId="2F84A39C">
            <w:pPr>
              <w:spacing w:line="440" w:lineRule="exact"/>
              <w:rPr>
                <w:rFonts w:hint="eastAsia" w:ascii="宋体" w:hAnsi="宋体" w:eastAsia="宋体" w:cs="宋体"/>
                <w:b w:val="0"/>
                <w:bCs w:val="0"/>
                <w:i w:val="0"/>
                <w:iCs w:val="0"/>
                <w:color w:val="auto"/>
                <w:sz w:val="22"/>
                <w:szCs w:val="22"/>
                <w:highlight w:val="none"/>
                <w:u w:val="none"/>
                <w:lang w:val="en-US" w:eastAsia="zh-CN"/>
              </w:rPr>
            </w:pPr>
            <w:r>
              <w:rPr>
                <w:rFonts w:hint="eastAsia" w:ascii="宋体" w:hAnsi="宋体" w:eastAsia="宋体" w:cs="宋体"/>
                <w:b w:val="0"/>
                <w:bCs w:val="0"/>
                <w:i w:val="0"/>
                <w:iCs w:val="0"/>
                <w:color w:val="auto"/>
                <w:sz w:val="22"/>
                <w:szCs w:val="22"/>
                <w:highlight w:val="none"/>
                <w:u w:val="none"/>
                <w:lang w:val="en-US" w:eastAsia="zh-CN"/>
              </w:rPr>
              <w:t>注：1、</w:t>
            </w:r>
            <w:r>
              <w:rPr>
                <w:rFonts w:hint="eastAsia" w:ascii="宋体" w:hAnsi="宋体" w:eastAsia="宋体" w:cs="宋体"/>
                <w:b w:val="0"/>
                <w:bCs/>
                <w:color w:val="auto"/>
                <w:sz w:val="22"/>
                <w:szCs w:val="22"/>
                <w:highlight w:val="none"/>
                <w:u w:val="none"/>
                <w:lang w:val="en-US" w:eastAsia="zh-CN"/>
              </w:rPr>
              <w:t>窗帘</w:t>
            </w:r>
            <w:r>
              <w:rPr>
                <w:rFonts w:hint="eastAsia" w:ascii="宋体" w:hAnsi="宋体" w:eastAsia="宋体" w:cs="宋体"/>
                <w:b w:val="0"/>
                <w:bCs w:val="0"/>
                <w:i w:val="0"/>
                <w:iCs w:val="0"/>
                <w:color w:val="auto"/>
                <w:sz w:val="22"/>
                <w:szCs w:val="22"/>
                <w:highlight w:val="none"/>
                <w:u w:val="none"/>
                <w:lang w:val="en-US" w:eastAsia="zh-CN"/>
              </w:rPr>
              <w:t>的配件（如铝合金静音轨道、五金配件等）等全部所需配件均包含在报价当中。</w:t>
            </w:r>
          </w:p>
          <w:p w14:paraId="044D3FAC">
            <w:pPr>
              <w:spacing w:line="440" w:lineRule="exact"/>
              <w:ind w:firstLine="440" w:firstLineChars="200"/>
              <w:rPr>
                <w:rFonts w:hint="eastAsia" w:ascii="宋体" w:hAnsi="宋体" w:eastAsia="宋体" w:cs="宋体"/>
                <w:b w:val="0"/>
                <w:bCs w:val="0"/>
                <w:i w:val="0"/>
                <w:iCs w:val="0"/>
                <w:color w:val="auto"/>
                <w:sz w:val="22"/>
                <w:szCs w:val="22"/>
                <w:highlight w:val="none"/>
                <w:u w:val="none"/>
                <w:lang w:val="en-US" w:eastAsia="zh-CN"/>
              </w:rPr>
            </w:pPr>
            <w:r>
              <w:rPr>
                <w:rFonts w:hint="eastAsia" w:ascii="宋体" w:hAnsi="宋体" w:eastAsia="宋体" w:cs="宋体"/>
                <w:b w:val="0"/>
                <w:bCs w:val="0"/>
                <w:i w:val="0"/>
                <w:iCs w:val="0"/>
                <w:color w:val="auto"/>
                <w:sz w:val="22"/>
                <w:szCs w:val="22"/>
                <w:highlight w:val="none"/>
                <w:u w:val="none"/>
                <w:lang w:val="en-US" w:eastAsia="zh-CN"/>
              </w:rPr>
              <w:t>2、产品安装的具体位置，可根据学校现场实际条件及采购人实际需求进行合理调整。供应商应在投标报价及方案制定时，充分预见到此类调整可能带来的工期、成本及技术适配等风险，并自行承担由此所产生的相关费用。</w:t>
            </w:r>
          </w:p>
          <w:p w14:paraId="5D1545CB">
            <w:pPr>
              <w:spacing w:line="440" w:lineRule="exact"/>
              <w:ind w:firstLine="440" w:firstLineChars="200"/>
              <w:rPr>
                <w:rFonts w:hint="eastAsia" w:ascii="宋体" w:hAnsi="宋体" w:eastAsia="宋体" w:cs="宋体"/>
                <w:b w:val="0"/>
                <w:bCs w:val="0"/>
                <w:i w:val="0"/>
                <w:iCs w:val="0"/>
                <w:color w:val="auto"/>
                <w:sz w:val="22"/>
                <w:szCs w:val="22"/>
                <w:highlight w:val="none"/>
                <w:u w:val="none"/>
                <w:lang w:val="en-US" w:eastAsia="zh-CN"/>
              </w:rPr>
            </w:pPr>
            <w:r>
              <w:rPr>
                <w:rFonts w:hint="eastAsia" w:ascii="宋体" w:hAnsi="宋体" w:cs="宋体"/>
                <w:b w:val="0"/>
                <w:bCs w:val="0"/>
                <w:i w:val="0"/>
                <w:iCs w:val="0"/>
                <w:color w:val="auto"/>
                <w:sz w:val="22"/>
                <w:szCs w:val="22"/>
                <w:highlight w:val="none"/>
                <w:u w:val="none"/>
                <w:lang w:val="en-US" w:eastAsia="zh-CN"/>
              </w:rPr>
              <w:t>3、</w:t>
            </w:r>
            <w:r>
              <w:rPr>
                <w:rFonts w:hint="eastAsia" w:ascii="宋体" w:hAnsi="宋体" w:eastAsia="宋体" w:cs="宋体"/>
                <w:b w:val="0"/>
                <w:bCs w:val="0"/>
                <w:i w:val="0"/>
                <w:iCs w:val="0"/>
                <w:color w:val="auto"/>
                <w:sz w:val="22"/>
                <w:szCs w:val="22"/>
                <w:highlight w:val="none"/>
                <w:u w:val="none"/>
                <w:lang w:val="en-US" w:eastAsia="zh-CN"/>
              </w:rPr>
              <w:t>颜色由采购人自行选择。</w:t>
            </w:r>
          </w:p>
          <w:p w14:paraId="0DF8B5E6">
            <w:pPr>
              <w:spacing w:line="440" w:lineRule="exact"/>
              <w:ind w:firstLine="440" w:firstLineChars="200"/>
              <w:rPr>
                <w:rFonts w:hint="default"/>
                <w:color w:val="auto"/>
                <w:lang w:val="en-US"/>
              </w:rPr>
            </w:pPr>
            <w:r>
              <w:rPr>
                <w:rFonts w:hint="eastAsia" w:ascii="宋体" w:hAnsi="宋体" w:eastAsia="宋体" w:cs="宋体"/>
                <w:b w:val="0"/>
                <w:bCs/>
                <w:color w:val="auto"/>
                <w:sz w:val="22"/>
                <w:szCs w:val="22"/>
                <w:highlight w:val="none"/>
                <w:u w:val="single"/>
              </w:rPr>
              <w:t>▲</w:t>
            </w:r>
            <w:r>
              <w:rPr>
                <w:rFonts w:hint="eastAsia" w:ascii="宋体" w:hAnsi="宋体" w:cs="宋体"/>
                <w:b w:val="0"/>
                <w:bCs/>
                <w:color w:val="auto"/>
                <w:sz w:val="22"/>
                <w:szCs w:val="22"/>
                <w:highlight w:val="none"/>
                <w:u w:val="single"/>
                <w:lang w:val="en-US" w:eastAsia="zh-CN"/>
              </w:rPr>
              <w:t>4</w:t>
            </w:r>
            <w:r>
              <w:rPr>
                <w:rFonts w:hint="eastAsia" w:ascii="宋体" w:hAnsi="宋体" w:eastAsia="宋体" w:cs="宋体"/>
                <w:b w:val="0"/>
                <w:bCs/>
                <w:color w:val="auto"/>
                <w:sz w:val="22"/>
                <w:szCs w:val="22"/>
                <w:highlight w:val="none"/>
                <w:u w:val="single"/>
                <w:lang w:val="en-US" w:eastAsia="zh-CN"/>
              </w:rPr>
              <w:t>、以上表格内</w:t>
            </w:r>
            <w:r>
              <w:rPr>
                <w:rFonts w:hint="eastAsia" w:ascii="宋体" w:hAnsi="宋体" w:cs="宋体"/>
                <w:b w:val="0"/>
                <w:bCs/>
                <w:color w:val="auto"/>
                <w:sz w:val="22"/>
                <w:szCs w:val="22"/>
                <w:highlight w:val="none"/>
                <w:u w:val="single"/>
                <w:lang w:val="en-US" w:eastAsia="zh-CN"/>
              </w:rPr>
              <w:t>规格尺寸为采购人初步测量数据，</w:t>
            </w:r>
            <w:r>
              <w:rPr>
                <w:rFonts w:hint="eastAsia" w:ascii="宋体" w:hAnsi="宋体" w:eastAsia="宋体" w:cs="宋体"/>
                <w:b w:val="0"/>
                <w:bCs/>
                <w:color w:val="auto"/>
                <w:sz w:val="22"/>
                <w:szCs w:val="22"/>
                <w:highlight w:val="none"/>
                <w:u w:val="single"/>
                <w:lang w:val="en-US" w:eastAsia="zh-CN"/>
              </w:rPr>
              <w:t>实际</w:t>
            </w:r>
            <w:r>
              <w:rPr>
                <w:rFonts w:hint="eastAsia" w:ascii="宋体" w:hAnsi="宋体" w:cs="宋体"/>
                <w:b w:val="0"/>
                <w:bCs/>
                <w:color w:val="auto"/>
                <w:sz w:val="22"/>
                <w:szCs w:val="22"/>
                <w:highlight w:val="none"/>
                <w:u w:val="single"/>
                <w:lang w:val="en-US" w:eastAsia="zh-CN"/>
              </w:rPr>
              <w:t>规格尺寸以中标后</w:t>
            </w:r>
            <w:r>
              <w:rPr>
                <w:rFonts w:hint="eastAsia" w:ascii="宋体" w:hAnsi="宋体" w:eastAsia="宋体" w:cs="宋体"/>
                <w:b w:val="0"/>
                <w:bCs/>
                <w:color w:val="auto"/>
                <w:sz w:val="22"/>
                <w:szCs w:val="22"/>
                <w:highlight w:val="none"/>
                <w:u w:val="single"/>
                <w:lang w:val="en-US" w:eastAsia="zh-CN"/>
              </w:rPr>
              <w:t>现场测定</w:t>
            </w:r>
            <w:r>
              <w:rPr>
                <w:rFonts w:hint="eastAsia" w:ascii="宋体" w:hAnsi="宋体" w:cs="宋体"/>
                <w:b w:val="0"/>
                <w:bCs/>
                <w:color w:val="auto"/>
                <w:sz w:val="22"/>
                <w:szCs w:val="22"/>
                <w:highlight w:val="none"/>
                <w:u w:val="single"/>
                <w:lang w:val="en-US" w:eastAsia="zh-CN"/>
              </w:rPr>
              <w:t>为准。</w:t>
            </w:r>
            <w:r>
              <w:rPr>
                <w:rFonts w:hint="eastAsia" w:ascii="宋体" w:hAnsi="宋体" w:eastAsia="宋体" w:cs="宋体"/>
                <w:b w:val="0"/>
                <w:bCs/>
                <w:color w:val="auto"/>
                <w:sz w:val="22"/>
                <w:szCs w:val="22"/>
                <w:highlight w:val="none"/>
                <w:u w:val="single"/>
                <w:lang w:val="en-US" w:eastAsia="zh-CN"/>
              </w:rPr>
              <w:t>中标人须完成</w:t>
            </w:r>
            <w:r>
              <w:rPr>
                <w:rFonts w:hint="eastAsia" w:ascii="宋体" w:hAnsi="宋体" w:cs="宋体"/>
                <w:b w:val="0"/>
                <w:bCs/>
                <w:color w:val="auto"/>
                <w:sz w:val="22"/>
                <w:szCs w:val="22"/>
                <w:highlight w:val="none"/>
                <w:u w:val="single"/>
                <w:lang w:val="en-US" w:eastAsia="zh-CN"/>
              </w:rPr>
              <w:t>采购人要求的</w:t>
            </w:r>
            <w:r>
              <w:rPr>
                <w:rFonts w:hint="eastAsia" w:ascii="宋体" w:hAnsi="宋体" w:eastAsia="宋体" w:cs="宋体"/>
                <w:b w:val="0"/>
                <w:bCs/>
                <w:color w:val="auto"/>
                <w:sz w:val="22"/>
                <w:szCs w:val="22"/>
                <w:highlight w:val="none"/>
                <w:u w:val="single"/>
                <w:lang w:val="en-US" w:eastAsia="zh-CN"/>
              </w:rPr>
              <w:t>所有房间货物的供货及安装调试</w:t>
            </w:r>
            <w:r>
              <w:rPr>
                <w:rFonts w:hint="eastAsia" w:ascii="宋体" w:hAnsi="宋体" w:cs="宋体"/>
                <w:b w:val="0"/>
                <w:bCs/>
                <w:color w:val="auto"/>
                <w:sz w:val="22"/>
                <w:szCs w:val="22"/>
                <w:highlight w:val="none"/>
                <w:u w:val="single"/>
                <w:lang w:val="en-US" w:eastAsia="zh-CN"/>
              </w:rPr>
              <w:t>，采用固定费用总包干</w:t>
            </w:r>
            <w:r>
              <w:rPr>
                <w:rFonts w:hint="eastAsia" w:ascii="宋体" w:hAnsi="宋体" w:eastAsia="宋体" w:cs="宋体"/>
                <w:b w:val="0"/>
                <w:bCs/>
                <w:color w:val="auto"/>
                <w:sz w:val="22"/>
                <w:szCs w:val="22"/>
                <w:highlight w:val="none"/>
                <w:u w:val="single"/>
                <w:lang w:val="en-US" w:eastAsia="zh-CN"/>
              </w:rPr>
              <w:t>。</w:t>
            </w:r>
            <w:r>
              <w:rPr>
                <w:rFonts w:hint="eastAsia" w:ascii="宋体" w:hAnsi="宋体" w:cs="宋体"/>
                <w:b w:val="0"/>
                <w:bCs/>
                <w:color w:val="auto"/>
                <w:sz w:val="22"/>
                <w:szCs w:val="22"/>
                <w:highlight w:val="none"/>
                <w:u w:val="single"/>
                <w:lang w:val="en-US" w:eastAsia="zh-CN"/>
              </w:rPr>
              <w:t>投标人</w:t>
            </w:r>
            <w:r>
              <w:rPr>
                <w:rFonts w:hint="eastAsia" w:ascii="宋体" w:hAnsi="宋体" w:eastAsia="宋体" w:cs="宋体"/>
                <w:b w:val="0"/>
                <w:bCs/>
                <w:color w:val="auto"/>
                <w:sz w:val="22"/>
                <w:szCs w:val="22"/>
                <w:highlight w:val="none"/>
                <w:u w:val="single"/>
                <w:lang w:val="en-US" w:eastAsia="zh-CN"/>
              </w:rPr>
              <w:t>若未到现场踏勘，由此造成投标价的偏差均不予调整</w:t>
            </w:r>
            <w:r>
              <w:rPr>
                <w:rFonts w:hint="eastAsia" w:ascii="宋体" w:hAnsi="宋体" w:cs="宋体"/>
                <w:b w:val="0"/>
                <w:bCs/>
                <w:color w:val="auto"/>
                <w:sz w:val="22"/>
                <w:szCs w:val="22"/>
                <w:highlight w:val="none"/>
                <w:u w:val="single"/>
                <w:lang w:val="en-US" w:eastAsia="zh-CN"/>
              </w:rPr>
              <w:t>，投标人根据上述因素自行考虑投标报价。</w:t>
            </w:r>
          </w:p>
          <w:p w14:paraId="45A81F8D">
            <w:pPr>
              <w:pStyle w:val="6"/>
              <w:keepNext w:val="0"/>
              <w:keepLines w:val="0"/>
              <w:pageBreakBefore w:val="0"/>
              <w:widowControl w:val="0"/>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b w:val="0"/>
                <w:bCs w:val="0"/>
                <w:i w:val="0"/>
                <w:iCs w:val="0"/>
                <w:color w:val="auto"/>
                <w:sz w:val="22"/>
                <w:szCs w:val="22"/>
                <w:highlight w:val="none"/>
                <w:u w:val="none"/>
                <w:lang w:val="en-US" w:eastAsia="zh-CN"/>
              </w:rPr>
            </w:pPr>
            <w:r>
              <w:rPr>
                <w:rFonts w:hint="eastAsia" w:ascii="宋体" w:hAnsi="宋体" w:eastAsia="宋体" w:cs="宋体"/>
                <w:b w:val="0"/>
                <w:bCs/>
                <w:color w:val="auto"/>
                <w:sz w:val="22"/>
                <w:szCs w:val="22"/>
                <w:highlight w:val="none"/>
                <w:u w:val="single"/>
              </w:rPr>
              <w:t>▲</w:t>
            </w:r>
            <w:r>
              <w:rPr>
                <w:rFonts w:hint="eastAsia" w:ascii="宋体" w:hAnsi="宋体" w:cs="宋体"/>
                <w:b w:val="0"/>
                <w:bCs/>
                <w:color w:val="auto"/>
                <w:sz w:val="22"/>
                <w:szCs w:val="22"/>
                <w:highlight w:val="none"/>
                <w:u w:val="single"/>
                <w:lang w:val="en-US" w:eastAsia="zh-CN"/>
              </w:rPr>
              <w:t>5</w:t>
            </w:r>
            <w:r>
              <w:rPr>
                <w:rFonts w:hint="eastAsia" w:ascii="宋体" w:hAnsi="宋体" w:eastAsia="宋体" w:cs="宋体"/>
                <w:b w:val="0"/>
                <w:bCs/>
                <w:color w:val="auto"/>
                <w:sz w:val="22"/>
                <w:szCs w:val="22"/>
                <w:highlight w:val="none"/>
                <w:u w:val="single"/>
                <w:lang w:val="en-US" w:eastAsia="zh-CN"/>
              </w:rPr>
              <w:t>、</w:t>
            </w:r>
            <w:r>
              <w:rPr>
                <w:rFonts w:hint="eastAsia" w:ascii="宋体" w:hAnsi="宋体" w:eastAsia="宋体" w:cs="宋体"/>
                <w:color w:val="auto"/>
                <w:sz w:val="22"/>
                <w:szCs w:val="22"/>
                <w:highlight w:val="none"/>
                <w:u w:val="single"/>
                <w:lang w:val="en-US" w:eastAsia="zh-CN"/>
              </w:rPr>
              <w:t>窗帘需按照1.5倍打褶处理，窗帘四周包边、布料高度损耗等均不算在计算范围内，帘高度计算方式为为铝合金静音轨道上端高度到地面，整块布料不能有拼接，中标人需自行将损耗计算在成本内</w:t>
            </w:r>
            <w:r>
              <w:rPr>
                <w:rFonts w:hint="eastAsia" w:ascii="宋体" w:hAnsi="宋体" w:eastAsia="宋体" w:cs="宋体"/>
                <w:color w:val="auto"/>
                <w:sz w:val="22"/>
                <w:szCs w:val="22"/>
                <w:highlight w:val="none"/>
                <w:u w:val="single"/>
              </w:rPr>
              <w:t>。</w:t>
            </w:r>
          </w:p>
        </w:tc>
      </w:tr>
    </w:tbl>
    <w:p w14:paraId="5A46E74A">
      <w:pPr>
        <w:widowControl/>
        <w:autoSpaceDE w:val="0"/>
        <w:autoSpaceDN w:val="0"/>
        <w:adjustRightInd w:val="0"/>
        <w:spacing w:line="460" w:lineRule="atLeast"/>
        <w:ind w:firstLine="440" w:firstLineChars="200"/>
        <w:textAlignment w:val="bottom"/>
        <w:rPr>
          <w:rFonts w:hint="eastAsia" w:ascii="宋体" w:hAnsi="宋体"/>
          <w:b/>
          <w:bCs/>
          <w:color w:val="auto"/>
          <w:sz w:val="22"/>
          <w:u w:val="none"/>
          <w:lang w:val="en-US" w:eastAsia="zh-CN"/>
        </w:rPr>
      </w:pPr>
      <w:r>
        <w:rPr>
          <w:rFonts w:hint="eastAsia" w:ascii="宋体" w:hAnsi="宋体"/>
          <w:b/>
          <w:bCs/>
          <w:color w:val="auto"/>
          <w:sz w:val="22"/>
          <w:u w:val="none"/>
          <w:lang w:val="en-US" w:eastAsia="zh-CN"/>
        </w:rPr>
        <w:t>（二）采购技术要求</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1236"/>
        <w:gridCol w:w="6274"/>
        <w:gridCol w:w="1211"/>
      </w:tblGrid>
      <w:tr w14:paraId="6FC2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 w:type="dxa"/>
            <w:noWrap w:val="0"/>
            <w:vAlign w:val="top"/>
          </w:tcPr>
          <w:p w14:paraId="6EDADFF9">
            <w:pPr>
              <w:pStyle w:val="5"/>
              <w:rPr>
                <w:rFonts w:hint="default"/>
                <w:sz w:val="22"/>
                <w:szCs w:val="22"/>
                <w:vertAlign w:val="baseline"/>
                <w:lang w:val="en-US" w:eastAsia="zh-CN"/>
              </w:rPr>
            </w:pPr>
            <w:r>
              <w:rPr>
                <w:rFonts w:hint="eastAsia"/>
                <w:sz w:val="22"/>
                <w:szCs w:val="22"/>
                <w:vertAlign w:val="baseline"/>
                <w:lang w:val="en-US" w:eastAsia="zh-CN"/>
              </w:rPr>
              <w:t>序号</w:t>
            </w:r>
          </w:p>
        </w:tc>
        <w:tc>
          <w:tcPr>
            <w:tcW w:w="1236" w:type="dxa"/>
            <w:noWrap w:val="0"/>
            <w:vAlign w:val="top"/>
          </w:tcPr>
          <w:p w14:paraId="28D022C5">
            <w:pPr>
              <w:pStyle w:val="5"/>
              <w:rPr>
                <w:rFonts w:hint="default"/>
                <w:sz w:val="22"/>
                <w:szCs w:val="22"/>
                <w:vertAlign w:val="baseline"/>
                <w:lang w:val="en-US" w:eastAsia="zh-CN"/>
              </w:rPr>
            </w:pPr>
            <w:r>
              <w:rPr>
                <w:rFonts w:hint="eastAsia"/>
                <w:sz w:val="22"/>
                <w:szCs w:val="22"/>
                <w:vertAlign w:val="baseline"/>
                <w:lang w:val="en-US" w:eastAsia="zh-CN"/>
              </w:rPr>
              <w:t>物品名称</w:t>
            </w:r>
          </w:p>
        </w:tc>
        <w:tc>
          <w:tcPr>
            <w:tcW w:w="6274" w:type="dxa"/>
            <w:noWrap w:val="0"/>
            <w:vAlign w:val="top"/>
          </w:tcPr>
          <w:p w14:paraId="4534ABE6">
            <w:pPr>
              <w:pStyle w:val="5"/>
              <w:rPr>
                <w:rFonts w:hint="default"/>
                <w:sz w:val="22"/>
                <w:szCs w:val="22"/>
                <w:vertAlign w:val="baseline"/>
                <w:lang w:val="en-US" w:eastAsia="zh-CN"/>
              </w:rPr>
            </w:pPr>
            <w:r>
              <w:rPr>
                <w:rFonts w:hint="eastAsia"/>
                <w:sz w:val="22"/>
                <w:szCs w:val="22"/>
                <w:vertAlign w:val="baseline"/>
                <w:lang w:val="en-US" w:eastAsia="zh-CN"/>
              </w:rPr>
              <w:t>技术要求</w:t>
            </w:r>
          </w:p>
        </w:tc>
        <w:tc>
          <w:tcPr>
            <w:tcW w:w="1211" w:type="dxa"/>
            <w:noWrap w:val="0"/>
            <w:vAlign w:val="top"/>
          </w:tcPr>
          <w:p w14:paraId="7CFEA21F">
            <w:pPr>
              <w:pStyle w:val="5"/>
              <w:rPr>
                <w:rFonts w:hint="default"/>
                <w:sz w:val="22"/>
                <w:szCs w:val="22"/>
                <w:vertAlign w:val="baseline"/>
                <w:lang w:val="en-US" w:eastAsia="zh-CN"/>
              </w:rPr>
            </w:pPr>
            <w:r>
              <w:rPr>
                <w:rFonts w:hint="eastAsia"/>
                <w:sz w:val="22"/>
                <w:szCs w:val="22"/>
                <w:vertAlign w:val="baseline"/>
                <w:lang w:val="en-US" w:eastAsia="zh-CN"/>
              </w:rPr>
              <w:t>备注</w:t>
            </w:r>
          </w:p>
        </w:tc>
      </w:tr>
      <w:tr w14:paraId="383F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 w:type="dxa"/>
            <w:noWrap w:val="0"/>
            <w:vAlign w:val="center"/>
          </w:tcPr>
          <w:p w14:paraId="45123D83">
            <w:pPr>
              <w:pStyle w:val="5"/>
              <w:jc w:val="center"/>
              <w:rPr>
                <w:rFonts w:hint="default"/>
                <w:sz w:val="22"/>
                <w:szCs w:val="22"/>
                <w:vertAlign w:val="baseline"/>
                <w:lang w:val="en-US" w:eastAsia="zh-CN"/>
              </w:rPr>
            </w:pPr>
            <w:r>
              <w:rPr>
                <w:rFonts w:hint="eastAsia"/>
                <w:sz w:val="22"/>
                <w:szCs w:val="22"/>
                <w:vertAlign w:val="baseline"/>
                <w:lang w:val="en-US" w:eastAsia="zh-CN"/>
              </w:rPr>
              <w:t>1</w:t>
            </w:r>
          </w:p>
        </w:tc>
        <w:tc>
          <w:tcPr>
            <w:tcW w:w="1236" w:type="dxa"/>
            <w:noWrap w:val="0"/>
            <w:vAlign w:val="center"/>
          </w:tcPr>
          <w:p w14:paraId="074B03FD">
            <w:pPr>
              <w:pStyle w:val="5"/>
              <w:jc w:val="center"/>
              <w:rPr>
                <w:rFonts w:hint="eastAsia"/>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窗帘布</w:t>
            </w:r>
          </w:p>
        </w:tc>
        <w:tc>
          <w:tcPr>
            <w:tcW w:w="6274" w:type="dxa"/>
            <w:noWrap w:val="0"/>
            <w:vAlign w:val="top"/>
          </w:tcPr>
          <w:p w14:paraId="75A58CD4">
            <w:pPr>
              <w:spacing w:before="99" w:line="420" w:lineRule="exact"/>
              <w:jc w:val="left"/>
              <w:rPr>
                <w:rFonts w:hint="eastAsia" w:ascii="宋体" w:hAnsi="宋体" w:eastAsia="宋体" w:cs="宋体"/>
                <w:bCs/>
                <w:sz w:val="22"/>
                <w:szCs w:val="22"/>
                <w:lang w:eastAsia="zh-CN"/>
              </w:rPr>
            </w:pPr>
            <w:r>
              <w:rPr>
                <w:rFonts w:hint="eastAsia" w:ascii="宋体" w:hAnsi="宋体" w:eastAsia="宋体" w:cs="宋体"/>
                <w:bCs/>
                <w:sz w:val="22"/>
                <w:szCs w:val="22"/>
              </w:rPr>
              <w:t>★1.纤维含量：100%聚酯纤维</w:t>
            </w:r>
            <w:r>
              <w:rPr>
                <w:rFonts w:hint="eastAsia" w:ascii="宋体" w:hAnsi="宋体" w:eastAsia="宋体" w:cs="宋体"/>
                <w:bCs/>
                <w:sz w:val="22"/>
                <w:szCs w:val="22"/>
                <w:lang w:eastAsia="zh-CN"/>
              </w:rPr>
              <w:t>；</w:t>
            </w:r>
          </w:p>
          <w:p w14:paraId="584D080B">
            <w:pPr>
              <w:spacing w:before="99" w:line="420" w:lineRule="exact"/>
              <w:jc w:val="left"/>
              <w:rPr>
                <w:rFonts w:hint="eastAsia" w:ascii="宋体" w:hAnsi="宋体" w:eastAsia="宋体" w:cs="宋体"/>
                <w:bCs/>
                <w:sz w:val="22"/>
                <w:szCs w:val="22"/>
              </w:rPr>
            </w:pPr>
            <w:r>
              <w:rPr>
                <w:rFonts w:hint="eastAsia" w:ascii="宋体" w:hAnsi="宋体" w:eastAsia="宋体" w:cs="宋体"/>
                <w:bCs/>
                <w:sz w:val="22"/>
                <w:szCs w:val="22"/>
              </w:rPr>
              <w:t>★2.织物重量：≥</w:t>
            </w:r>
            <w:r>
              <w:rPr>
                <w:rFonts w:hint="eastAsia" w:ascii="宋体" w:hAnsi="宋体" w:eastAsia="宋体" w:cs="宋体"/>
                <w:bCs/>
                <w:sz w:val="22"/>
                <w:szCs w:val="22"/>
                <w:lang w:val="en-US" w:eastAsia="zh-CN"/>
              </w:rPr>
              <w:t>350</w:t>
            </w:r>
            <w:r>
              <w:rPr>
                <w:rFonts w:hint="eastAsia" w:ascii="宋体" w:hAnsi="宋体" w:eastAsia="宋体" w:cs="宋体"/>
                <w:bCs/>
                <w:sz w:val="22"/>
                <w:szCs w:val="22"/>
              </w:rPr>
              <w:t>g/㎡；</w:t>
            </w:r>
          </w:p>
          <w:p w14:paraId="7A332643">
            <w:pPr>
              <w:spacing w:before="99" w:line="420" w:lineRule="exact"/>
              <w:jc w:val="left"/>
              <w:rPr>
                <w:rFonts w:hint="eastAsia" w:ascii="宋体" w:hAnsi="宋体" w:eastAsia="宋体" w:cs="宋体"/>
                <w:bCs/>
                <w:sz w:val="22"/>
                <w:szCs w:val="22"/>
                <w:lang w:eastAsia="zh-CN"/>
              </w:rPr>
            </w:pPr>
            <w:r>
              <w:rPr>
                <w:rFonts w:hint="eastAsia" w:ascii="宋体" w:hAnsi="宋体" w:eastAsia="宋体" w:cs="宋体"/>
                <w:bCs/>
                <w:sz w:val="22"/>
                <w:szCs w:val="22"/>
              </w:rPr>
              <w:t>★3.织物厚度：≥1mm</w:t>
            </w:r>
            <w:r>
              <w:rPr>
                <w:rFonts w:hint="eastAsia" w:ascii="宋体" w:hAnsi="宋体" w:eastAsia="宋体" w:cs="宋体"/>
                <w:bCs/>
                <w:sz w:val="22"/>
                <w:szCs w:val="22"/>
                <w:lang w:eastAsia="zh-CN"/>
              </w:rPr>
              <w:t>；</w:t>
            </w:r>
          </w:p>
          <w:p w14:paraId="7161F111">
            <w:pPr>
              <w:spacing w:before="99" w:line="420" w:lineRule="exact"/>
              <w:jc w:val="left"/>
              <w:rPr>
                <w:rFonts w:hint="eastAsia" w:ascii="宋体" w:hAnsi="宋体" w:eastAsia="宋体" w:cs="宋体"/>
                <w:bCs/>
                <w:sz w:val="22"/>
                <w:szCs w:val="22"/>
                <w:lang w:eastAsia="zh-CN"/>
              </w:rPr>
            </w:pPr>
            <w:r>
              <w:rPr>
                <w:rFonts w:hint="eastAsia" w:ascii="宋体" w:hAnsi="宋体" w:eastAsia="宋体" w:cs="宋体"/>
                <w:bCs/>
                <w:sz w:val="22"/>
                <w:szCs w:val="22"/>
              </w:rPr>
              <w:t>4.pH值：4.0~9.0</w:t>
            </w:r>
            <w:r>
              <w:rPr>
                <w:rFonts w:hint="eastAsia" w:ascii="宋体" w:hAnsi="宋体" w:eastAsia="宋体" w:cs="宋体"/>
                <w:bCs/>
                <w:sz w:val="22"/>
                <w:szCs w:val="22"/>
                <w:lang w:eastAsia="zh-CN"/>
              </w:rPr>
              <w:t>；</w:t>
            </w:r>
            <w:r>
              <w:rPr>
                <w:rFonts w:hint="eastAsia" w:ascii="宋体" w:hAnsi="宋体" w:eastAsia="宋体" w:cs="宋体"/>
                <w:bCs/>
                <w:sz w:val="22"/>
                <w:szCs w:val="22"/>
              </w:rPr>
              <w:t>5.遮光率≥95%</w:t>
            </w:r>
            <w:r>
              <w:rPr>
                <w:rFonts w:hint="eastAsia" w:ascii="宋体" w:hAnsi="宋体" w:eastAsia="宋体" w:cs="宋体"/>
                <w:bCs/>
                <w:sz w:val="22"/>
                <w:szCs w:val="22"/>
                <w:lang w:eastAsia="zh-CN"/>
              </w:rPr>
              <w:t>；</w:t>
            </w:r>
          </w:p>
          <w:p w14:paraId="0D1BEBBA">
            <w:pPr>
              <w:spacing w:before="99" w:line="420" w:lineRule="exact"/>
              <w:jc w:val="left"/>
              <w:rPr>
                <w:rFonts w:hint="eastAsia" w:ascii="宋体" w:hAnsi="宋体" w:eastAsia="宋体" w:cs="宋体"/>
                <w:bCs/>
                <w:sz w:val="22"/>
                <w:szCs w:val="22"/>
                <w:lang w:eastAsia="zh-CN"/>
              </w:rPr>
            </w:pPr>
            <w:r>
              <w:rPr>
                <w:rFonts w:hint="eastAsia" w:ascii="宋体" w:hAnsi="宋体" w:eastAsia="宋体" w:cs="宋体"/>
                <w:bCs/>
                <w:sz w:val="22"/>
                <w:szCs w:val="22"/>
              </w:rPr>
              <w:t>★6.断裂强力（N）：经向≥1600、纬向≥1600</w:t>
            </w:r>
            <w:r>
              <w:rPr>
                <w:rFonts w:hint="eastAsia" w:ascii="宋体" w:hAnsi="宋体" w:eastAsia="宋体" w:cs="宋体"/>
                <w:bCs/>
                <w:sz w:val="22"/>
                <w:szCs w:val="22"/>
                <w:lang w:eastAsia="zh-CN"/>
              </w:rPr>
              <w:t>；</w:t>
            </w:r>
          </w:p>
          <w:p w14:paraId="27DEF1AE">
            <w:pPr>
              <w:spacing w:before="99" w:line="420" w:lineRule="exact"/>
              <w:jc w:val="left"/>
              <w:rPr>
                <w:rFonts w:hint="eastAsia" w:ascii="宋体" w:hAnsi="宋体" w:eastAsia="宋体" w:cs="宋体"/>
                <w:bCs/>
                <w:sz w:val="22"/>
                <w:szCs w:val="22"/>
                <w:lang w:eastAsia="zh-CN"/>
              </w:rPr>
            </w:pPr>
            <w:r>
              <w:rPr>
                <w:rFonts w:hint="eastAsia" w:ascii="宋体" w:hAnsi="宋体" w:eastAsia="宋体" w:cs="宋体"/>
                <w:bCs/>
                <w:sz w:val="22"/>
                <w:szCs w:val="22"/>
              </w:rPr>
              <w:t>7.水洗尺寸变化率：径向（%）-</w:t>
            </w:r>
            <w:r>
              <w:rPr>
                <w:rFonts w:hint="eastAsia" w:ascii="宋体" w:hAnsi="宋体" w:eastAsia="宋体" w:cs="宋体"/>
                <w:bCs/>
                <w:sz w:val="22"/>
                <w:szCs w:val="22"/>
                <w:lang w:val="en-US" w:eastAsia="zh-CN"/>
              </w:rPr>
              <w:t>2</w:t>
            </w:r>
            <w:r>
              <w:rPr>
                <w:rFonts w:hint="eastAsia" w:ascii="宋体" w:hAnsi="宋体" w:eastAsia="宋体" w:cs="宋体"/>
                <w:bCs/>
                <w:sz w:val="22"/>
                <w:szCs w:val="22"/>
              </w:rPr>
              <w:t>.0~+</w:t>
            </w:r>
            <w:r>
              <w:rPr>
                <w:rFonts w:hint="eastAsia" w:ascii="宋体" w:hAnsi="宋体" w:eastAsia="宋体" w:cs="宋体"/>
                <w:bCs/>
                <w:sz w:val="22"/>
                <w:szCs w:val="22"/>
                <w:lang w:val="en-US" w:eastAsia="zh-CN"/>
              </w:rPr>
              <w:t>2</w:t>
            </w:r>
            <w:r>
              <w:rPr>
                <w:rFonts w:hint="eastAsia" w:ascii="宋体" w:hAnsi="宋体" w:eastAsia="宋体" w:cs="宋体"/>
                <w:bCs/>
                <w:sz w:val="22"/>
                <w:szCs w:val="22"/>
              </w:rPr>
              <w:t>.0，纬向（%）-</w:t>
            </w:r>
            <w:r>
              <w:rPr>
                <w:rFonts w:hint="eastAsia" w:ascii="宋体" w:hAnsi="宋体" w:eastAsia="宋体" w:cs="宋体"/>
                <w:bCs/>
                <w:sz w:val="22"/>
                <w:szCs w:val="22"/>
                <w:lang w:val="en-US" w:eastAsia="zh-CN"/>
              </w:rPr>
              <w:t>2</w:t>
            </w:r>
            <w:r>
              <w:rPr>
                <w:rFonts w:hint="eastAsia" w:ascii="宋体" w:hAnsi="宋体" w:eastAsia="宋体" w:cs="宋体"/>
                <w:bCs/>
                <w:sz w:val="22"/>
                <w:szCs w:val="22"/>
              </w:rPr>
              <w:t>.0~+</w:t>
            </w:r>
            <w:r>
              <w:rPr>
                <w:rFonts w:hint="eastAsia" w:ascii="宋体" w:hAnsi="宋体" w:eastAsia="宋体" w:cs="宋体"/>
                <w:bCs/>
                <w:sz w:val="22"/>
                <w:szCs w:val="22"/>
                <w:lang w:val="en-US" w:eastAsia="zh-CN"/>
              </w:rPr>
              <w:t>2</w:t>
            </w:r>
            <w:r>
              <w:rPr>
                <w:rFonts w:hint="eastAsia" w:ascii="宋体" w:hAnsi="宋体" w:eastAsia="宋体" w:cs="宋体"/>
                <w:bCs/>
                <w:sz w:val="22"/>
                <w:szCs w:val="22"/>
              </w:rPr>
              <w:t>.0</w:t>
            </w:r>
            <w:r>
              <w:rPr>
                <w:rFonts w:hint="eastAsia" w:ascii="宋体" w:hAnsi="宋体" w:eastAsia="宋体" w:cs="宋体"/>
                <w:bCs/>
                <w:sz w:val="22"/>
                <w:szCs w:val="22"/>
                <w:lang w:eastAsia="zh-CN"/>
              </w:rPr>
              <w:t>；</w:t>
            </w:r>
            <w:r>
              <w:rPr>
                <w:rFonts w:hint="eastAsia" w:ascii="宋体" w:hAnsi="宋体" w:eastAsia="宋体" w:cs="宋体"/>
                <w:bCs/>
                <w:sz w:val="22"/>
                <w:szCs w:val="22"/>
              </w:rPr>
              <w:t>8.异味:无</w:t>
            </w:r>
            <w:r>
              <w:rPr>
                <w:rFonts w:hint="eastAsia" w:ascii="宋体" w:hAnsi="宋体" w:eastAsia="宋体" w:cs="宋体"/>
                <w:bCs/>
                <w:sz w:val="22"/>
                <w:szCs w:val="22"/>
                <w:lang w:eastAsia="zh-CN"/>
              </w:rPr>
              <w:t>；</w:t>
            </w:r>
          </w:p>
          <w:p w14:paraId="2DD1D2EF">
            <w:pPr>
              <w:spacing w:before="99" w:line="420" w:lineRule="exact"/>
              <w:jc w:val="left"/>
              <w:rPr>
                <w:rFonts w:hint="eastAsia" w:ascii="宋体" w:hAnsi="宋体" w:eastAsia="宋体" w:cs="宋体"/>
                <w:bCs/>
                <w:sz w:val="22"/>
                <w:szCs w:val="22"/>
                <w:lang w:eastAsia="zh-CN"/>
              </w:rPr>
            </w:pPr>
            <w:r>
              <w:rPr>
                <w:rFonts w:hint="eastAsia" w:ascii="宋体" w:hAnsi="宋体" w:eastAsia="宋体" w:cs="宋体"/>
                <w:bCs/>
                <w:sz w:val="22"/>
                <w:szCs w:val="22"/>
              </w:rPr>
              <w:t>★9.甲醛含量：未检出</w:t>
            </w:r>
            <w:r>
              <w:rPr>
                <w:rFonts w:hint="eastAsia" w:ascii="宋体" w:hAnsi="宋体" w:eastAsia="宋体" w:cs="宋体"/>
                <w:bCs/>
                <w:sz w:val="22"/>
                <w:szCs w:val="22"/>
                <w:lang w:eastAsia="zh-CN"/>
              </w:rPr>
              <w:t>；</w:t>
            </w:r>
          </w:p>
          <w:p w14:paraId="3A0555A6">
            <w:pPr>
              <w:spacing w:before="99" w:line="420" w:lineRule="exact"/>
              <w:jc w:val="left"/>
              <w:rPr>
                <w:rFonts w:hint="eastAsia" w:ascii="宋体" w:hAnsi="宋体" w:eastAsia="宋体" w:cs="宋体"/>
                <w:bCs/>
                <w:sz w:val="22"/>
                <w:szCs w:val="22"/>
                <w:lang w:eastAsia="zh-CN"/>
              </w:rPr>
            </w:pPr>
            <w:r>
              <w:rPr>
                <w:rFonts w:hint="eastAsia" w:ascii="宋体" w:hAnsi="宋体" w:eastAsia="宋体" w:cs="宋体"/>
                <w:bCs/>
                <w:sz w:val="22"/>
                <w:szCs w:val="22"/>
              </w:rPr>
              <w:t>★10.阻燃性能：阻燃性能达到B1级要求，符合国家标准GB 8624-2012 B1 级或GB20286-2006阻燃1级或更高阻燃标准</w:t>
            </w:r>
            <w:r>
              <w:rPr>
                <w:rFonts w:hint="eastAsia" w:ascii="宋体" w:hAnsi="宋体" w:eastAsia="宋体" w:cs="宋体"/>
                <w:bCs/>
                <w:sz w:val="22"/>
                <w:szCs w:val="22"/>
                <w:lang w:eastAsia="zh-CN"/>
              </w:rPr>
              <w:t>；</w:t>
            </w:r>
          </w:p>
          <w:p w14:paraId="5D9236D0">
            <w:pPr>
              <w:spacing w:before="99" w:line="420" w:lineRule="exact"/>
              <w:jc w:val="left"/>
              <w:rPr>
                <w:rFonts w:hint="eastAsia" w:ascii="宋体" w:hAnsi="宋体" w:eastAsia="宋体" w:cs="宋体"/>
                <w:bCs/>
                <w:sz w:val="22"/>
                <w:szCs w:val="22"/>
              </w:rPr>
            </w:pPr>
            <w:r>
              <w:rPr>
                <w:rFonts w:hint="eastAsia" w:ascii="宋体" w:hAnsi="宋体" w:eastAsia="宋体" w:cs="宋体"/>
                <w:bCs/>
                <w:sz w:val="22"/>
                <w:szCs w:val="22"/>
                <w:lang w:val="en-US" w:eastAsia="zh-CN"/>
              </w:rPr>
              <w:t>1</w:t>
            </w:r>
            <w:r>
              <w:rPr>
                <w:rFonts w:hint="eastAsia" w:ascii="宋体" w:hAnsi="宋体" w:eastAsia="宋体" w:cs="宋体"/>
                <w:bCs/>
                <w:sz w:val="22"/>
                <w:szCs w:val="22"/>
              </w:rPr>
              <w:t>1.耐水色牢度≥4级；</w:t>
            </w:r>
          </w:p>
          <w:p w14:paraId="33411E52">
            <w:pPr>
              <w:spacing w:before="99" w:line="420" w:lineRule="exact"/>
              <w:jc w:val="left"/>
              <w:rPr>
                <w:rFonts w:hint="eastAsia" w:ascii="宋体" w:hAnsi="宋体" w:eastAsia="宋体" w:cs="宋体"/>
                <w:bCs/>
                <w:sz w:val="22"/>
                <w:szCs w:val="22"/>
                <w:lang w:eastAsia="zh-CN"/>
              </w:rPr>
            </w:pPr>
            <w:r>
              <w:rPr>
                <w:rFonts w:hint="eastAsia" w:ascii="宋体" w:hAnsi="宋体" w:eastAsia="宋体" w:cs="宋体"/>
                <w:bCs/>
                <w:sz w:val="22"/>
                <w:szCs w:val="22"/>
                <w:lang w:val="en-US" w:eastAsia="zh-CN"/>
              </w:rPr>
              <w:t>12.</w:t>
            </w:r>
            <w:r>
              <w:rPr>
                <w:rFonts w:hint="eastAsia" w:ascii="宋体" w:hAnsi="宋体" w:eastAsia="宋体" w:cs="宋体"/>
                <w:bCs/>
                <w:sz w:val="22"/>
                <w:szCs w:val="22"/>
              </w:rPr>
              <w:t>耐摩擦色牢度≥4级</w:t>
            </w:r>
            <w:r>
              <w:rPr>
                <w:rFonts w:hint="eastAsia" w:ascii="宋体" w:hAnsi="宋体" w:eastAsia="宋体" w:cs="宋体"/>
                <w:bCs/>
                <w:sz w:val="22"/>
                <w:szCs w:val="22"/>
                <w:lang w:eastAsia="zh-CN"/>
              </w:rPr>
              <w:t>；</w:t>
            </w:r>
          </w:p>
          <w:p w14:paraId="63F22737">
            <w:pPr>
              <w:spacing w:before="99" w:line="420" w:lineRule="exact"/>
              <w:jc w:val="left"/>
              <w:rPr>
                <w:rFonts w:hint="eastAsia" w:ascii="宋体" w:hAnsi="宋体" w:eastAsia="宋体" w:cs="宋体"/>
                <w:bCs/>
                <w:sz w:val="22"/>
                <w:szCs w:val="22"/>
                <w:lang w:eastAsia="zh-CN"/>
              </w:rPr>
            </w:pPr>
            <w:r>
              <w:rPr>
                <w:rFonts w:hint="eastAsia" w:ascii="宋体" w:hAnsi="宋体" w:eastAsia="宋体" w:cs="宋体"/>
                <w:bCs/>
                <w:sz w:val="22"/>
                <w:szCs w:val="22"/>
                <w:lang w:val="en-US" w:eastAsia="zh-CN"/>
              </w:rPr>
              <w:t>13.</w:t>
            </w:r>
            <w:r>
              <w:rPr>
                <w:rFonts w:hint="eastAsia" w:ascii="宋体" w:hAnsi="宋体" w:eastAsia="宋体" w:cs="宋体"/>
                <w:bCs/>
                <w:sz w:val="22"/>
                <w:szCs w:val="22"/>
              </w:rPr>
              <w:t>耐皂洗色牢度≥4级</w:t>
            </w:r>
            <w:r>
              <w:rPr>
                <w:rFonts w:hint="eastAsia" w:ascii="宋体" w:hAnsi="宋体" w:eastAsia="宋体" w:cs="宋体"/>
                <w:bCs/>
                <w:sz w:val="22"/>
                <w:szCs w:val="22"/>
                <w:lang w:eastAsia="zh-CN"/>
              </w:rPr>
              <w:t>；</w:t>
            </w:r>
          </w:p>
          <w:p w14:paraId="08BE616E">
            <w:pPr>
              <w:spacing w:before="99" w:line="420" w:lineRule="exact"/>
              <w:jc w:val="left"/>
              <w:rPr>
                <w:rFonts w:hint="eastAsia" w:ascii="宋体" w:hAnsi="宋体" w:eastAsia="宋体" w:cs="宋体"/>
                <w:bCs/>
                <w:sz w:val="22"/>
                <w:szCs w:val="22"/>
                <w:lang w:eastAsia="zh-CN"/>
              </w:rPr>
            </w:pPr>
            <w:r>
              <w:rPr>
                <w:rFonts w:hint="eastAsia" w:ascii="宋体" w:hAnsi="宋体" w:eastAsia="宋体" w:cs="宋体"/>
                <w:bCs/>
                <w:sz w:val="22"/>
                <w:szCs w:val="22"/>
                <w:lang w:val="en-US" w:eastAsia="zh-CN"/>
              </w:rPr>
              <w:t>14.</w:t>
            </w:r>
            <w:r>
              <w:rPr>
                <w:rFonts w:hint="eastAsia" w:ascii="宋体" w:hAnsi="宋体" w:eastAsia="宋体" w:cs="宋体"/>
                <w:bCs/>
                <w:sz w:val="22"/>
                <w:szCs w:val="22"/>
              </w:rPr>
              <w:t>耐光色牢度≥4级</w:t>
            </w:r>
            <w:r>
              <w:rPr>
                <w:rFonts w:hint="eastAsia" w:ascii="宋体" w:hAnsi="宋体" w:eastAsia="宋体" w:cs="宋体"/>
                <w:bCs/>
                <w:sz w:val="22"/>
                <w:szCs w:val="22"/>
                <w:lang w:eastAsia="zh-CN"/>
              </w:rPr>
              <w:t>；</w:t>
            </w:r>
          </w:p>
          <w:p w14:paraId="3378EFC9">
            <w:pPr>
              <w:spacing w:before="99" w:line="420" w:lineRule="exact"/>
              <w:jc w:val="left"/>
              <w:rPr>
                <w:rFonts w:hint="eastAsia" w:ascii="宋体" w:hAnsi="宋体" w:eastAsia="宋体" w:cs="宋体"/>
                <w:bCs/>
                <w:sz w:val="22"/>
                <w:szCs w:val="22"/>
                <w:lang w:eastAsia="zh-CN"/>
              </w:rPr>
            </w:pPr>
            <w:r>
              <w:rPr>
                <w:rFonts w:hint="eastAsia" w:ascii="宋体" w:hAnsi="宋体" w:eastAsia="宋体" w:cs="宋体"/>
                <w:bCs/>
                <w:sz w:val="22"/>
                <w:szCs w:val="22"/>
              </w:rPr>
              <w:t>★</w:t>
            </w:r>
            <w:r>
              <w:rPr>
                <w:rFonts w:hint="eastAsia" w:ascii="宋体" w:hAnsi="宋体" w:eastAsia="宋体" w:cs="宋体"/>
                <w:bCs/>
                <w:sz w:val="22"/>
                <w:szCs w:val="22"/>
                <w:lang w:val="en-US" w:eastAsia="zh-CN"/>
              </w:rPr>
              <w:t>·</w:t>
            </w:r>
            <w:r>
              <w:rPr>
                <w:rFonts w:hint="eastAsia" w:ascii="宋体" w:hAnsi="宋体" w:eastAsia="宋体" w:cs="宋体"/>
                <w:bCs/>
                <w:sz w:val="22"/>
                <w:szCs w:val="22"/>
              </w:rPr>
              <w:t>1</w:t>
            </w:r>
            <w:r>
              <w:rPr>
                <w:rFonts w:hint="eastAsia" w:ascii="宋体" w:hAnsi="宋体" w:eastAsia="宋体" w:cs="宋体"/>
                <w:bCs/>
                <w:sz w:val="22"/>
                <w:szCs w:val="22"/>
                <w:lang w:val="en-US" w:eastAsia="zh-CN"/>
              </w:rPr>
              <w:t>5</w:t>
            </w:r>
            <w:r>
              <w:rPr>
                <w:rFonts w:hint="eastAsia" w:ascii="宋体" w:hAnsi="宋体" w:eastAsia="宋体" w:cs="宋体"/>
                <w:bCs/>
                <w:sz w:val="22"/>
                <w:szCs w:val="22"/>
              </w:rPr>
              <w:t>.可萃取重金属（锑、砷、铅、镉、铬、钴）：未检出</w:t>
            </w:r>
            <w:r>
              <w:rPr>
                <w:rFonts w:hint="eastAsia" w:ascii="宋体" w:hAnsi="宋体" w:eastAsia="宋体" w:cs="宋体"/>
                <w:bCs/>
                <w:sz w:val="22"/>
                <w:szCs w:val="22"/>
                <w:lang w:eastAsia="zh-CN"/>
              </w:rPr>
              <w:t>；</w:t>
            </w:r>
          </w:p>
          <w:p w14:paraId="0EF062B6">
            <w:pPr>
              <w:spacing w:before="99" w:line="420" w:lineRule="exact"/>
              <w:jc w:val="left"/>
              <w:rPr>
                <w:rFonts w:hint="eastAsia" w:ascii="宋体" w:hAnsi="宋体" w:eastAsia="宋体" w:cs="宋体"/>
                <w:bCs/>
                <w:sz w:val="22"/>
                <w:szCs w:val="22"/>
                <w:lang w:eastAsia="zh-CN"/>
              </w:rPr>
            </w:pPr>
            <w:r>
              <w:rPr>
                <w:rFonts w:hint="eastAsia" w:ascii="宋体" w:hAnsi="宋体" w:eastAsia="宋体" w:cs="宋体"/>
                <w:bCs/>
                <w:sz w:val="22"/>
                <w:szCs w:val="22"/>
              </w:rPr>
              <w:t>1</w:t>
            </w:r>
            <w:r>
              <w:rPr>
                <w:rFonts w:hint="eastAsia" w:ascii="宋体" w:hAnsi="宋体" w:eastAsia="宋体" w:cs="宋体"/>
                <w:bCs/>
                <w:sz w:val="22"/>
                <w:szCs w:val="22"/>
                <w:lang w:val="en-US" w:eastAsia="zh-CN"/>
              </w:rPr>
              <w:t>6</w:t>
            </w:r>
            <w:r>
              <w:rPr>
                <w:rFonts w:hint="eastAsia" w:ascii="宋体" w:hAnsi="宋体" w:eastAsia="宋体" w:cs="宋体"/>
                <w:bCs/>
                <w:sz w:val="22"/>
                <w:szCs w:val="22"/>
              </w:rPr>
              <w:t>.致敏性分散染料（mg/kg)：未检出</w:t>
            </w:r>
            <w:r>
              <w:rPr>
                <w:rFonts w:hint="eastAsia" w:ascii="宋体" w:hAnsi="宋体" w:eastAsia="宋体" w:cs="宋体"/>
                <w:bCs/>
                <w:sz w:val="22"/>
                <w:szCs w:val="22"/>
                <w:lang w:eastAsia="zh-CN"/>
              </w:rPr>
              <w:t>；</w:t>
            </w:r>
          </w:p>
          <w:p w14:paraId="54DAAC3D">
            <w:pPr>
              <w:spacing w:before="99" w:line="420" w:lineRule="exact"/>
              <w:jc w:val="left"/>
              <w:rPr>
                <w:rFonts w:hint="eastAsia" w:ascii="宋体" w:hAnsi="宋体" w:eastAsia="宋体" w:cs="宋体"/>
                <w:bCs/>
                <w:sz w:val="22"/>
                <w:szCs w:val="22"/>
                <w:lang w:eastAsia="zh-CN"/>
              </w:rPr>
            </w:pPr>
            <w:r>
              <w:rPr>
                <w:rFonts w:hint="eastAsia" w:ascii="宋体" w:hAnsi="宋体" w:eastAsia="宋体" w:cs="宋体"/>
                <w:bCs/>
                <w:sz w:val="22"/>
                <w:szCs w:val="22"/>
                <w:lang w:val="en-US" w:eastAsia="zh-CN"/>
              </w:rPr>
              <w:t>17.</w:t>
            </w:r>
            <w:r>
              <w:rPr>
                <w:rFonts w:hint="eastAsia" w:ascii="宋体" w:hAnsi="宋体" w:eastAsia="宋体" w:cs="宋体"/>
                <w:bCs/>
                <w:sz w:val="22"/>
                <w:szCs w:val="22"/>
              </w:rPr>
              <w:t>致癌染料（mg/kg)：未检出</w:t>
            </w:r>
            <w:r>
              <w:rPr>
                <w:rFonts w:hint="eastAsia" w:ascii="宋体" w:hAnsi="宋体" w:eastAsia="宋体" w:cs="宋体"/>
                <w:bCs/>
                <w:sz w:val="22"/>
                <w:szCs w:val="22"/>
                <w:lang w:eastAsia="zh-CN"/>
              </w:rPr>
              <w:t>；</w:t>
            </w:r>
          </w:p>
          <w:p w14:paraId="315D1AA4">
            <w:pPr>
              <w:spacing w:before="99" w:line="420" w:lineRule="exact"/>
              <w:jc w:val="left"/>
              <w:rPr>
                <w:rFonts w:hint="eastAsia"/>
                <w:sz w:val="22"/>
                <w:szCs w:val="22"/>
                <w:vertAlign w:val="baseline"/>
                <w:lang w:val="en-US" w:eastAsia="zh-CN"/>
              </w:rPr>
            </w:pPr>
            <w:r>
              <w:rPr>
                <w:rFonts w:hint="eastAsia" w:ascii="宋体" w:hAnsi="宋体" w:eastAsia="宋体" w:cs="宋体"/>
                <w:bCs/>
                <w:sz w:val="22"/>
                <w:szCs w:val="22"/>
              </w:rPr>
              <w:t>★</w:t>
            </w:r>
            <w:r>
              <w:rPr>
                <w:rFonts w:hint="eastAsia" w:ascii="宋体" w:hAnsi="宋体" w:eastAsia="宋体" w:cs="宋体"/>
                <w:bCs/>
                <w:sz w:val="22"/>
                <w:szCs w:val="22"/>
                <w:lang w:val="en-US" w:eastAsia="zh-CN"/>
              </w:rPr>
              <w:t>18.</w:t>
            </w:r>
            <w:r>
              <w:rPr>
                <w:rFonts w:hint="eastAsia" w:ascii="宋体" w:hAnsi="宋体" w:eastAsia="宋体" w:cs="宋体"/>
                <w:bCs/>
                <w:sz w:val="22"/>
                <w:szCs w:val="22"/>
              </w:rPr>
              <w:t>抗菌性能（大肠杆菌、金黄色葡萄球菌抑菌率≥</w:t>
            </w:r>
            <w:r>
              <w:rPr>
                <w:rFonts w:hint="eastAsia" w:ascii="宋体" w:hAnsi="宋体" w:eastAsia="宋体" w:cs="宋体"/>
                <w:bCs/>
                <w:sz w:val="22"/>
                <w:szCs w:val="22"/>
                <w:lang w:val="en-US" w:eastAsia="zh-CN"/>
              </w:rPr>
              <w:t>90</w:t>
            </w:r>
            <w:r>
              <w:rPr>
                <w:rFonts w:hint="eastAsia" w:ascii="宋体" w:hAnsi="宋体" w:eastAsia="宋体" w:cs="宋体"/>
                <w:bCs/>
                <w:sz w:val="22"/>
                <w:szCs w:val="22"/>
              </w:rPr>
              <w:t>%）</w:t>
            </w:r>
            <w:r>
              <w:rPr>
                <w:rFonts w:hint="eastAsia" w:ascii="宋体" w:hAnsi="宋体" w:eastAsia="宋体" w:cs="宋体"/>
                <w:bCs/>
                <w:sz w:val="22"/>
                <w:szCs w:val="22"/>
                <w:lang w:eastAsia="zh-CN"/>
              </w:rPr>
              <w:t>。</w:t>
            </w:r>
            <w:r>
              <w:rPr>
                <w:rFonts w:hint="eastAsia" w:ascii="宋体" w:hAnsi="宋体" w:eastAsia="宋体" w:cs="宋体"/>
                <w:bCs/>
                <w:sz w:val="22"/>
                <w:szCs w:val="22"/>
              </w:rPr>
              <w:t>具体</w:t>
            </w:r>
            <w:r>
              <w:rPr>
                <w:rFonts w:hint="eastAsia" w:ascii="宋体" w:hAnsi="宋体" w:eastAsia="宋体" w:cs="宋体"/>
                <w:bCs/>
                <w:sz w:val="22"/>
                <w:szCs w:val="22"/>
                <w:lang w:val="en-US" w:eastAsia="zh-CN"/>
              </w:rPr>
              <w:t>数量见附件清单</w:t>
            </w:r>
            <w:r>
              <w:rPr>
                <w:rFonts w:hint="eastAsia" w:ascii="宋体" w:hAnsi="宋体" w:eastAsia="宋体" w:cs="宋体"/>
                <w:bCs/>
                <w:sz w:val="22"/>
                <w:szCs w:val="22"/>
              </w:rPr>
              <w:t>。</w:t>
            </w:r>
          </w:p>
        </w:tc>
        <w:tc>
          <w:tcPr>
            <w:tcW w:w="1211" w:type="dxa"/>
            <w:noWrap w:val="0"/>
            <w:vAlign w:val="top"/>
          </w:tcPr>
          <w:p w14:paraId="6561A869">
            <w:pPr>
              <w:pStyle w:val="5"/>
              <w:rPr>
                <w:rFonts w:hint="eastAsia"/>
                <w:sz w:val="22"/>
                <w:szCs w:val="22"/>
                <w:vertAlign w:val="baseline"/>
                <w:lang w:val="en-US" w:eastAsia="zh-CN"/>
              </w:rPr>
            </w:pPr>
          </w:p>
        </w:tc>
      </w:tr>
      <w:tr w14:paraId="10CC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 w:type="dxa"/>
            <w:noWrap w:val="0"/>
            <w:vAlign w:val="center"/>
          </w:tcPr>
          <w:p w14:paraId="08EBBA81">
            <w:pPr>
              <w:pStyle w:val="5"/>
              <w:jc w:val="center"/>
              <w:rPr>
                <w:rFonts w:hint="default"/>
                <w:sz w:val="22"/>
                <w:szCs w:val="22"/>
                <w:vertAlign w:val="baseline"/>
                <w:lang w:val="en-US" w:eastAsia="zh-CN"/>
              </w:rPr>
            </w:pPr>
            <w:r>
              <w:rPr>
                <w:rFonts w:hint="eastAsia"/>
                <w:sz w:val="22"/>
                <w:szCs w:val="22"/>
                <w:vertAlign w:val="baseline"/>
                <w:lang w:val="en-US" w:eastAsia="zh-CN"/>
              </w:rPr>
              <w:t>2</w:t>
            </w:r>
          </w:p>
        </w:tc>
        <w:tc>
          <w:tcPr>
            <w:tcW w:w="1236" w:type="dxa"/>
            <w:noWrap w:val="0"/>
            <w:vAlign w:val="center"/>
          </w:tcPr>
          <w:p w14:paraId="6B0632B0">
            <w:pPr>
              <w:pStyle w:val="5"/>
              <w:jc w:val="center"/>
              <w:rPr>
                <w:rFonts w:hint="eastAsia"/>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轨道</w:t>
            </w:r>
          </w:p>
        </w:tc>
        <w:tc>
          <w:tcPr>
            <w:tcW w:w="6274" w:type="dxa"/>
            <w:noWrap w:val="0"/>
            <w:vAlign w:val="top"/>
          </w:tcPr>
          <w:p w14:paraId="0CC124CA">
            <w:pPr>
              <w:spacing w:before="99" w:line="420" w:lineRule="exact"/>
              <w:jc w:val="left"/>
              <w:rPr>
                <w:rFonts w:hint="eastAsia" w:ascii="宋体" w:hAnsi="宋体" w:eastAsia="宋体" w:cs="宋体"/>
                <w:bCs/>
                <w:sz w:val="22"/>
                <w:lang w:eastAsia="zh-CN"/>
              </w:rPr>
            </w:pPr>
            <w:r>
              <w:rPr>
                <w:rFonts w:hint="eastAsia" w:ascii="宋体" w:hAnsi="宋体" w:eastAsia="宋体" w:cs="宋体"/>
                <w:bCs/>
                <w:sz w:val="22"/>
              </w:rPr>
              <w:t>★</w:t>
            </w:r>
            <w:r>
              <w:rPr>
                <w:rFonts w:hint="eastAsia" w:ascii="宋体" w:hAnsi="宋体" w:eastAsia="宋体" w:cs="宋体"/>
                <w:bCs/>
                <w:sz w:val="22"/>
                <w:lang w:val="en-US" w:eastAsia="zh-CN"/>
              </w:rPr>
              <w:t>①.</w:t>
            </w:r>
            <w:r>
              <w:rPr>
                <w:rFonts w:hint="eastAsia" w:ascii="宋体" w:hAnsi="宋体" w:eastAsia="宋体" w:cs="宋体"/>
                <w:bCs/>
                <w:sz w:val="22"/>
                <w:lang w:eastAsia="zh-CN"/>
              </w:rPr>
              <w:t>材质：铝合金；</w:t>
            </w:r>
          </w:p>
          <w:p w14:paraId="07259A45">
            <w:pPr>
              <w:spacing w:before="99" w:line="420" w:lineRule="exact"/>
              <w:jc w:val="left"/>
              <w:rPr>
                <w:rFonts w:hint="eastAsia" w:ascii="宋体" w:hAnsi="宋体" w:eastAsia="宋体" w:cs="宋体"/>
                <w:bCs/>
                <w:sz w:val="22"/>
                <w:lang w:eastAsia="zh-CN"/>
              </w:rPr>
            </w:pPr>
            <w:r>
              <w:rPr>
                <w:rFonts w:hint="eastAsia" w:ascii="宋体" w:hAnsi="宋体" w:eastAsia="宋体" w:cs="宋体"/>
                <w:bCs/>
                <w:sz w:val="22"/>
              </w:rPr>
              <w:t>★</w:t>
            </w:r>
            <w:r>
              <w:rPr>
                <w:rFonts w:hint="eastAsia" w:ascii="宋体" w:hAnsi="宋体" w:eastAsia="宋体" w:cs="宋体"/>
                <w:bCs/>
                <w:sz w:val="22"/>
                <w:lang w:val="en-US" w:eastAsia="zh-CN"/>
              </w:rPr>
              <w:t>②</w:t>
            </w:r>
            <w:r>
              <w:rPr>
                <w:rFonts w:hint="eastAsia" w:ascii="宋体" w:hAnsi="宋体" w:eastAsia="宋体" w:cs="宋体"/>
                <w:bCs/>
                <w:sz w:val="22"/>
                <w:lang w:eastAsia="zh-CN"/>
              </w:rPr>
              <w:t>.壁厚：≥</w:t>
            </w:r>
            <w:r>
              <w:rPr>
                <w:rFonts w:hint="eastAsia" w:ascii="宋体" w:hAnsi="宋体" w:eastAsia="宋体" w:cs="宋体"/>
                <w:bCs/>
                <w:sz w:val="22"/>
                <w:lang w:val="en-US" w:eastAsia="zh-CN"/>
              </w:rPr>
              <w:t>1.5</w:t>
            </w:r>
            <w:r>
              <w:rPr>
                <w:rFonts w:hint="eastAsia" w:ascii="宋体" w:hAnsi="宋体" w:eastAsia="宋体" w:cs="宋体"/>
                <w:bCs/>
                <w:sz w:val="22"/>
                <w:lang w:eastAsia="zh-CN"/>
              </w:rPr>
              <w:t>mm；</w:t>
            </w:r>
          </w:p>
          <w:p w14:paraId="41BD783C">
            <w:pPr>
              <w:spacing w:before="99" w:line="420" w:lineRule="exact"/>
              <w:jc w:val="left"/>
              <w:rPr>
                <w:rFonts w:hint="eastAsia" w:ascii="宋体" w:hAnsi="宋体" w:eastAsia="宋体" w:cs="宋体"/>
                <w:bCs/>
                <w:sz w:val="22"/>
                <w:lang w:eastAsia="zh-CN"/>
              </w:rPr>
            </w:pPr>
            <w:r>
              <w:rPr>
                <w:rFonts w:hint="eastAsia" w:ascii="宋体" w:hAnsi="宋体" w:eastAsia="宋体" w:cs="宋体"/>
                <w:bCs/>
                <w:sz w:val="22"/>
              </w:rPr>
              <w:t>★</w:t>
            </w:r>
            <w:r>
              <w:rPr>
                <w:rFonts w:hint="eastAsia" w:ascii="宋体" w:hAnsi="宋体" w:eastAsia="宋体" w:cs="宋体"/>
                <w:bCs/>
                <w:sz w:val="22"/>
                <w:lang w:val="en-US" w:eastAsia="zh-CN"/>
              </w:rPr>
              <w:t>③</w:t>
            </w:r>
            <w:r>
              <w:rPr>
                <w:rFonts w:hint="eastAsia" w:ascii="宋体" w:hAnsi="宋体" w:eastAsia="宋体" w:cs="宋体"/>
                <w:bCs/>
                <w:sz w:val="22"/>
                <w:lang w:eastAsia="zh-CN"/>
              </w:rPr>
              <w:t>.力学性能：抗拉强度：≥220MPa，规定非比例延伸强度≥178MPa，断后伸长率≥13.5%；</w:t>
            </w:r>
          </w:p>
          <w:p w14:paraId="182150A2">
            <w:pPr>
              <w:spacing w:before="99" w:line="420" w:lineRule="exact"/>
              <w:jc w:val="left"/>
              <w:rPr>
                <w:rFonts w:hint="eastAsia" w:ascii="宋体" w:hAnsi="宋体" w:eastAsia="宋体" w:cs="宋体"/>
                <w:bCs/>
                <w:sz w:val="22"/>
                <w:lang w:eastAsia="zh-CN"/>
              </w:rPr>
            </w:pPr>
            <w:r>
              <w:rPr>
                <w:rFonts w:hint="eastAsia" w:ascii="宋体" w:hAnsi="宋体" w:eastAsia="宋体" w:cs="宋体"/>
                <w:bCs/>
                <w:sz w:val="22"/>
              </w:rPr>
              <w:t>★</w:t>
            </w:r>
            <w:r>
              <w:rPr>
                <w:rFonts w:hint="eastAsia" w:ascii="宋体" w:hAnsi="宋体" w:eastAsia="宋体" w:cs="宋体"/>
                <w:bCs/>
                <w:sz w:val="22"/>
                <w:lang w:val="en-US" w:eastAsia="zh-CN"/>
              </w:rPr>
              <w:t>④</w:t>
            </w:r>
            <w:r>
              <w:rPr>
                <w:rFonts w:hint="eastAsia" w:ascii="宋体" w:hAnsi="宋体" w:eastAsia="宋体" w:cs="宋体"/>
                <w:bCs/>
                <w:sz w:val="22"/>
                <w:lang w:eastAsia="zh-CN"/>
              </w:rPr>
              <w:t>.米克重：≥4</w:t>
            </w:r>
            <w:r>
              <w:rPr>
                <w:rFonts w:hint="eastAsia" w:ascii="宋体" w:hAnsi="宋体" w:eastAsia="宋体" w:cs="宋体"/>
                <w:bCs/>
                <w:sz w:val="22"/>
                <w:lang w:val="en-US" w:eastAsia="zh-CN"/>
              </w:rPr>
              <w:t>4</w:t>
            </w:r>
            <w:r>
              <w:rPr>
                <w:rFonts w:hint="eastAsia" w:ascii="宋体" w:hAnsi="宋体" w:eastAsia="宋体" w:cs="宋体"/>
                <w:bCs/>
                <w:sz w:val="22"/>
                <w:lang w:eastAsia="zh-CN"/>
              </w:rPr>
              <w:t>0g/m；</w:t>
            </w:r>
          </w:p>
          <w:p w14:paraId="42579782">
            <w:pPr>
              <w:spacing w:before="99" w:line="420" w:lineRule="exact"/>
              <w:jc w:val="left"/>
              <w:rPr>
                <w:rFonts w:hint="eastAsia" w:ascii="宋体" w:hAnsi="宋体" w:eastAsia="宋体" w:cs="宋体"/>
                <w:bCs/>
                <w:sz w:val="22"/>
                <w:lang w:eastAsia="zh-CN"/>
              </w:rPr>
            </w:pPr>
            <w:r>
              <w:rPr>
                <w:rFonts w:hint="eastAsia" w:ascii="宋体" w:hAnsi="宋体" w:eastAsia="宋体" w:cs="宋体"/>
                <w:bCs/>
                <w:sz w:val="22"/>
                <w:lang w:val="en-US" w:eastAsia="zh-CN"/>
              </w:rPr>
              <w:t>⑤</w:t>
            </w:r>
            <w:r>
              <w:rPr>
                <w:rFonts w:hint="eastAsia" w:ascii="宋体" w:hAnsi="宋体" w:eastAsia="宋体" w:cs="宋体"/>
                <w:bCs/>
                <w:sz w:val="22"/>
                <w:lang w:eastAsia="zh-CN"/>
              </w:rPr>
              <w:t>.韦氏硬度HW：≥13；</w:t>
            </w:r>
            <w:r>
              <w:rPr>
                <w:rFonts w:hint="eastAsia" w:ascii="宋体" w:hAnsi="宋体" w:eastAsia="宋体" w:cs="宋体"/>
                <w:bCs/>
                <w:sz w:val="22"/>
                <w:lang w:val="en-US" w:eastAsia="zh-CN"/>
              </w:rPr>
              <w:t>f</w:t>
            </w:r>
            <w:r>
              <w:rPr>
                <w:rFonts w:hint="eastAsia" w:ascii="宋体" w:hAnsi="宋体" w:eastAsia="宋体" w:cs="宋体"/>
                <w:bCs/>
                <w:sz w:val="22"/>
                <w:lang w:eastAsia="zh-CN"/>
              </w:rPr>
              <w:t>.漆膜厚度：≥</w:t>
            </w:r>
            <w:r>
              <w:rPr>
                <w:rFonts w:hint="eastAsia" w:ascii="宋体" w:hAnsi="宋体" w:eastAsia="宋体" w:cs="宋体"/>
                <w:bCs/>
                <w:sz w:val="22"/>
                <w:szCs w:val="22"/>
                <w:lang w:eastAsia="zh-CN"/>
              </w:rPr>
              <w:t>15</w:t>
            </w:r>
            <w:r>
              <w:rPr>
                <w:rFonts w:hint="eastAsia" w:ascii="宋体" w:hAnsi="宋体" w:eastAsia="宋体" w:cs="宋体"/>
                <w:bCs/>
                <w:sz w:val="22"/>
              </w:rPr>
              <w:t>μ</w:t>
            </w:r>
            <w:r>
              <w:rPr>
                <w:rFonts w:hint="eastAsia" w:ascii="宋体" w:hAnsi="宋体" w:eastAsia="宋体" w:cs="宋体"/>
                <w:bCs/>
                <w:sz w:val="22"/>
                <w:lang w:eastAsia="zh-CN"/>
              </w:rPr>
              <w:t>m；</w:t>
            </w:r>
          </w:p>
          <w:p w14:paraId="12E3F94B">
            <w:pPr>
              <w:spacing w:before="99" w:line="420" w:lineRule="exact"/>
              <w:jc w:val="left"/>
              <w:rPr>
                <w:rFonts w:hint="eastAsia" w:ascii="宋体" w:hAnsi="宋体" w:eastAsia="宋体" w:cs="宋体"/>
                <w:bCs/>
                <w:sz w:val="22"/>
                <w:lang w:eastAsia="zh-CN"/>
              </w:rPr>
            </w:pPr>
            <w:r>
              <w:rPr>
                <w:rFonts w:hint="eastAsia" w:ascii="宋体" w:hAnsi="宋体" w:eastAsia="宋体" w:cs="宋体"/>
                <w:bCs/>
                <w:sz w:val="22"/>
              </w:rPr>
              <w:t>★</w:t>
            </w:r>
            <w:r>
              <w:rPr>
                <w:rFonts w:hint="eastAsia" w:ascii="宋体" w:hAnsi="宋体" w:eastAsia="宋体" w:cs="宋体"/>
                <w:bCs/>
                <w:sz w:val="22"/>
                <w:lang w:val="en-US" w:eastAsia="zh-CN"/>
              </w:rPr>
              <w:t>⑥</w:t>
            </w:r>
            <w:r>
              <w:rPr>
                <w:rFonts w:hint="eastAsia" w:ascii="宋体" w:hAnsi="宋体" w:eastAsia="宋体" w:cs="宋体"/>
                <w:bCs/>
                <w:sz w:val="22"/>
                <w:lang w:eastAsia="zh-CN"/>
              </w:rPr>
              <w:t>.漆膜硬度：≥</w:t>
            </w:r>
            <w:r>
              <w:rPr>
                <w:rFonts w:hint="eastAsia" w:ascii="宋体" w:hAnsi="宋体" w:eastAsia="宋体" w:cs="宋体"/>
                <w:bCs/>
                <w:sz w:val="22"/>
                <w:lang w:val="en-US" w:eastAsia="zh-CN"/>
              </w:rPr>
              <w:t>5</w:t>
            </w:r>
            <w:r>
              <w:rPr>
                <w:rFonts w:hint="eastAsia" w:ascii="宋体" w:hAnsi="宋体" w:eastAsia="宋体" w:cs="宋体"/>
                <w:bCs/>
                <w:sz w:val="22"/>
                <w:lang w:eastAsia="zh-CN"/>
              </w:rPr>
              <w:t>H；</w:t>
            </w:r>
          </w:p>
          <w:p w14:paraId="32855BA4">
            <w:pPr>
              <w:spacing w:before="99" w:line="420" w:lineRule="exact"/>
              <w:jc w:val="left"/>
              <w:rPr>
                <w:rFonts w:hint="eastAsia"/>
                <w:sz w:val="22"/>
                <w:szCs w:val="22"/>
                <w:vertAlign w:val="baseline"/>
                <w:lang w:val="en-US" w:eastAsia="zh-CN"/>
              </w:rPr>
            </w:pPr>
            <w:r>
              <w:rPr>
                <w:rFonts w:hint="eastAsia" w:ascii="宋体" w:hAnsi="宋体" w:eastAsia="宋体" w:cs="宋体"/>
                <w:bCs/>
                <w:sz w:val="22"/>
              </w:rPr>
              <w:t>★</w:t>
            </w:r>
            <w:r>
              <w:rPr>
                <w:rFonts w:hint="eastAsia" w:ascii="宋体" w:hAnsi="宋体" w:eastAsia="宋体" w:cs="宋体"/>
                <w:bCs/>
                <w:sz w:val="22"/>
                <w:lang w:val="en-US" w:eastAsia="zh-CN"/>
              </w:rPr>
              <w:t>⑦.</w:t>
            </w:r>
            <w:r>
              <w:rPr>
                <w:rFonts w:hint="eastAsia" w:ascii="宋体" w:hAnsi="宋体" w:eastAsia="宋体" w:cs="宋体"/>
                <w:bCs/>
                <w:sz w:val="22"/>
                <w:lang w:eastAsia="zh-CN"/>
              </w:rPr>
              <w:t>安装码</w:t>
            </w:r>
            <w:r>
              <w:rPr>
                <w:rFonts w:hint="eastAsia" w:ascii="宋体" w:hAnsi="宋体" w:eastAsia="宋体" w:cs="宋体"/>
                <w:bCs/>
                <w:sz w:val="22"/>
                <w:lang w:val="en-US" w:eastAsia="zh-CN"/>
              </w:rPr>
              <w:t>承重</w:t>
            </w:r>
            <w:r>
              <w:rPr>
                <w:rFonts w:hint="eastAsia" w:ascii="宋体" w:hAnsi="宋体" w:eastAsia="宋体" w:cs="宋体"/>
                <w:bCs/>
                <w:sz w:val="22"/>
                <w:lang w:eastAsia="zh-CN"/>
              </w:rPr>
              <w:t>：施加≥</w:t>
            </w:r>
            <w:r>
              <w:rPr>
                <w:rFonts w:hint="eastAsia" w:ascii="宋体" w:hAnsi="宋体" w:eastAsia="宋体" w:cs="宋体"/>
                <w:bCs/>
                <w:sz w:val="22"/>
                <w:lang w:val="en-US" w:eastAsia="zh-CN"/>
              </w:rPr>
              <w:t>40</w:t>
            </w:r>
            <w:r>
              <w:rPr>
                <w:rFonts w:hint="eastAsia" w:ascii="宋体" w:hAnsi="宋体" w:eastAsia="宋体" w:cs="宋体"/>
                <w:bCs/>
                <w:sz w:val="22"/>
                <w:lang w:eastAsia="zh-CN"/>
              </w:rPr>
              <w:t>kg载荷，试样未破坏。</w:t>
            </w:r>
          </w:p>
        </w:tc>
        <w:tc>
          <w:tcPr>
            <w:tcW w:w="1211" w:type="dxa"/>
            <w:noWrap w:val="0"/>
            <w:vAlign w:val="top"/>
          </w:tcPr>
          <w:p w14:paraId="36ED104C">
            <w:pPr>
              <w:pStyle w:val="5"/>
              <w:rPr>
                <w:rFonts w:hint="eastAsia"/>
                <w:sz w:val="22"/>
                <w:szCs w:val="22"/>
                <w:vertAlign w:val="baseline"/>
                <w:lang w:val="en-US" w:eastAsia="zh-CN"/>
              </w:rPr>
            </w:pPr>
          </w:p>
        </w:tc>
      </w:tr>
      <w:tr w14:paraId="4E61A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 w:type="dxa"/>
            <w:noWrap w:val="0"/>
            <w:vAlign w:val="center"/>
          </w:tcPr>
          <w:p w14:paraId="20C27BE7">
            <w:pPr>
              <w:pStyle w:val="5"/>
              <w:jc w:val="center"/>
              <w:rPr>
                <w:rFonts w:hint="default"/>
                <w:sz w:val="22"/>
                <w:szCs w:val="22"/>
                <w:vertAlign w:val="baseline"/>
                <w:lang w:val="en-US" w:eastAsia="zh-CN"/>
              </w:rPr>
            </w:pPr>
            <w:r>
              <w:rPr>
                <w:rFonts w:hint="eastAsia"/>
                <w:sz w:val="22"/>
                <w:szCs w:val="22"/>
                <w:vertAlign w:val="baseline"/>
                <w:lang w:val="en-US" w:eastAsia="zh-CN"/>
              </w:rPr>
              <w:t>3</w:t>
            </w:r>
          </w:p>
        </w:tc>
        <w:tc>
          <w:tcPr>
            <w:tcW w:w="1236" w:type="dxa"/>
            <w:noWrap w:val="0"/>
            <w:vAlign w:val="center"/>
          </w:tcPr>
          <w:p w14:paraId="0D002AFC">
            <w:pPr>
              <w:pStyle w:val="5"/>
              <w:jc w:val="center"/>
              <w:rPr>
                <w:rFonts w:hint="eastAsia"/>
                <w:sz w:val="22"/>
                <w:szCs w:val="22"/>
                <w:vertAlign w:val="baseline"/>
                <w:lang w:val="en-US" w:eastAsia="zh-CN"/>
              </w:rPr>
            </w:pPr>
            <w:r>
              <w:rPr>
                <w:rFonts w:hint="eastAsia" w:ascii="宋体" w:hAnsi="宋体" w:eastAsia="宋体" w:cs="宋体"/>
                <w:i w:val="0"/>
                <w:iCs w:val="0"/>
                <w:color w:val="000000"/>
                <w:kern w:val="0"/>
                <w:sz w:val="22"/>
                <w:szCs w:val="22"/>
                <w:u w:val="none"/>
                <w:lang w:val="en-US" w:eastAsia="zh-CN" w:bidi="ar"/>
              </w:rPr>
              <w:t>卷帘</w:t>
            </w:r>
          </w:p>
        </w:tc>
        <w:tc>
          <w:tcPr>
            <w:tcW w:w="6274" w:type="dxa"/>
            <w:noWrap w:val="0"/>
            <w:vAlign w:val="top"/>
          </w:tcPr>
          <w:p w14:paraId="2414786D">
            <w:pPr>
              <w:spacing w:before="99" w:line="420" w:lineRule="exact"/>
              <w:jc w:val="left"/>
              <w:rPr>
                <w:rFonts w:hint="eastAsia" w:ascii="宋体" w:hAnsi="宋体" w:eastAsia="宋体" w:cs="宋体"/>
                <w:bCs/>
                <w:sz w:val="22"/>
                <w:lang w:val="en-US" w:eastAsia="zh-CN"/>
              </w:rPr>
            </w:pPr>
            <w:r>
              <w:rPr>
                <w:rFonts w:hint="eastAsia" w:ascii="宋体" w:hAnsi="宋体" w:eastAsia="宋体" w:cs="宋体"/>
                <w:bCs/>
                <w:sz w:val="22"/>
                <w:lang w:val="en-US" w:eastAsia="zh-CN"/>
              </w:rPr>
              <w:t>★①.成分：100%聚酯纤维；</w:t>
            </w:r>
          </w:p>
          <w:p w14:paraId="143DED79">
            <w:pPr>
              <w:spacing w:before="99" w:line="420" w:lineRule="exact"/>
              <w:jc w:val="left"/>
              <w:rPr>
                <w:rFonts w:hint="eastAsia" w:ascii="宋体" w:hAnsi="宋体" w:eastAsia="宋体" w:cs="宋体"/>
                <w:bCs/>
                <w:sz w:val="22"/>
                <w:lang w:val="en-US" w:eastAsia="zh-CN"/>
              </w:rPr>
            </w:pPr>
            <w:r>
              <w:rPr>
                <w:rFonts w:hint="eastAsia" w:ascii="宋体" w:hAnsi="宋体" w:eastAsia="宋体" w:cs="宋体"/>
                <w:bCs/>
                <w:sz w:val="22"/>
                <w:lang w:val="en-US" w:eastAsia="zh-CN"/>
              </w:rPr>
              <w:t>★②.净单位面积重量：≥500g/m²；</w:t>
            </w:r>
          </w:p>
          <w:p w14:paraId="549DE4D3">
            <w:pPr>
              <w:spacing w:before="99" w:line="420" w:lineRule="exact"/>
              <w:jc w:val="left"/>
              <w:rPr>
                <w:rFonts w:hint="eastAsia" w:ascii="宋体" w:hAnsi="宋体" w:eastAsia="宋体" w:cs="宋体"/>
                <w:bCs/>
                <w:sz w:val="22"/>
                <w:lang w:val="en-US" w:eastAsia="zh-CN"/>
              </w:rPr>
            </w:pPr>
            <w:r>
              <w:rPr>
                <w:rFonts w:hint="eastAsia" w:ascii="宋体" w:hAnsi="宋体" w:eastAsia="宋体" w:cs="宋体"/>
                <w:bCs/>
                <w:sz w:val="22"/>
                <w:lang w:val="en-US" w:eastAsia="zh-CN"/>
              </w:rPr>
              <w:t>③.厚度：≥0.63mm；</w:t>
            </w:r>
          </w:p>
          <w:p w14:paraId="4404971B">
            <w:pPr>
              <w:spacing w:before="99" w:line="420" w:lineRule="exact"/>
              <w:jc w:val="left"/>
              <w:rPr>
                <w:rFonts w:hint="eastAsia" w:ascii="宋体" w:hAnsi="宋体" w:eastAsia="宋体" w:cs="宋体"/>
                <w:bCs/>
                <w:sz w:val="22"/>
                <w:lang w:val="en-US" w:eastAsia="zh-CN"/>
              </w:rPr>
            </w:pPr>
            <w:r>
              <w:rPr>
                <w:rFonts w:hint="eastAsia" w:ascii="宋体" w:hAnsi="宋体" w:eastAsia="宋体" w:cs="宋体"/>
                <w:bCs/>
                <w:sz w:val="22"/>
                <w:lang w:val="en-US" w:eastAsia="zh-CN"/>
              </w:rPr>
              <w:t>④.密度：径向56/inch,纬向56/inch；</w:t>
            </w:r>
          </w:p>
          <w:p w14:paraId="4E591506">
            <w:pPr>
              <w:spacing w:before="99" w:line="420" w:lineRule="exact"/>
              <w:jc w:val="left"/>
              <w:rPr>
                <w:rFonts w:hint="eastAsia" w:ascii="宋体" w:hAnsi="宋体" w:eastAsia="宋体" w:cs="宋体"/>
                <w:bCs/>
                <w:sz w:val="22"/>
                <w:lang w:val="en-US" w:eastAsia="zh-CN"/>
              </w:rPr>
            </w:pPr>
            <w:r>
              <w:rPr>
                <w:rFonts w:hint="eastAsia" w:ascii="宋体" w:hAnsi="宋体" w:eastAsia="宋体" w:cs="宋体"/>
                <w:bCs/>
                <w:sz w:val="22"/>
                <w:lang w:val="en-US" w:eastAsia="zh-CN"/>
              </w:rPr>
              <w:t>★⑤.遮光率：≥90%；</w:t>
            </w:r>
          </w:p>
          <w:p w14:paraId="1096032F">
            <w:pPr>
              <w:spacing w:before="99" w:line="420" w:lineRule="exact"/>
              <w:jc w:val="left"/>
              <w:rPr>
                <w:rFonts w:hint="eastAsia" w:ascii="宋体" w:hAnsi="宋体" w:eastAsia="宋体" w:cs="宋体"/>
                <w:bCs/>
                <w:sz w:val="22"/>
                <w:lang w:val="en-US" w:eastAsia="zh-CN"/>
              </w:rPr>
            </w:pPr>
            <w:r>
              <w:rPr>
                <w:rFonts w:hint="eastAsia" w:ascii="宋体" w:hAnsi="宋体" w:eastAsia="宋体" w:cs="宋体"/>
                <w:bCs/>
                <w:sz w:val="22"/>
                <w:lang w:val="en-US" w:eastAsia="zh-CN"/>
              </w:rPr>
              <w:t>⑥.PH值：4~9；</w:t>
            </w:r>
          </w:p>
          <w:p w14:paraId="78FD5255">
            <w:pPr>
              <w:spacing w:before="99" w:line="420" w:lineRule="exact"/>
              <w:jc w:val="left"/>
              <w:rPr>
                <w:rFonts w:hint="eastAsia" w:ascii="宋体" w:hAnsi="宋体" w:eastAsia="宋体" w:cs="宋体"/>
                <w:bCs/>
                <w:sz w:val="22"/>
                <w:lang w:val="en-US" w:eastAsia="zh-CN"/>
              </w:rPr>
            </w:pPr>
            <w:r>
              <w:rPr>
                <w:rFonts w:hint="eastAsia" w:ascii="宋体" w:hAnsi="宋体" w:eastAsia="宋体" w:cs="宋体"/>
                <w:bCs/>
                <w:sz w:val="22"/>
                <w:lang w:val="en-US" w:eastAsia="zh-CN"/>
              </w:rPr>
              <w:t>⑦.异味：无；</w:t>
            </w:r>
          </w:p>
          <w:p w14:paraId="3B865430">
            <w:pPr>
              <w:spacing w:before="99" w:line="420" w:lineRule="exact"/>
              <w:jc w:val="left"/>
              <w:rPr>
                <w:rFonts w:hint="eastAsia" w:ascii="宋体" w:hAnsi="宋体" w:eastAsia="宋体" w:cs="宋体"/>
                <w:bCs/>
                <w:sz w:val="22"/>
                <w:lang w:val="en-US" w:eastAsia="zh-CN"/>
              </w:rPr>
            </w:pPr>
            <w:r>
              <w:rPr>
                <w:rFonts w:hint="eastAsia" w:ascii="宋体" w:hAnsi="宋体" w:eastAsia="宋体" w:cs="宋体"/>
                <w:bCs/>
                <w:sz w:val="22"/>
                <w:lang w:val="en-US" w:eastAsia="zh-CN"/>
              </w:rPr>
              <w:t xml:space="preserve">★⑧.甲醛含量：禁用 </w:t>
            </w:r>
          </w:p>
          <w:p w14:paraId="5403CB39">
            <w:pPr>
              <w:spacing w:before="99" w:line="420" w:lineRule="exact"/>
              <w:jc w:val="left"/>
              <w:rPr>
                <w:rFonts w:hint="eastAsia"/>
                <w:sz w:val="22"/>
                <w:szCs w:val="22"/>
                <w:vertAlign w:val="baseline"/>
                <w:lang w:val="en-US" w:eastAsia="zh-CN"/>
              </w:rPr>
            </w:pPr>
            <w:r>
              <w:rPr>
                <w:rFonts w:hint="eastAsia" w:ascii="宋体" w:hAnsi="宋体" w:eastAsia="宋体" w:cs="宋体"/>
                <w:bCs/>
                <w:sz w:val="22"/>
                <w:lang w:val="en-US" w:eastAsia="zh-CN"/>
              </w:rPr>
              <w:t>★⑨.耐光照色牢度：≥4级；</w:t>
            </w:r>
          </w:p>
        </w:tc>
        <w:tc>
          <w:tcPr>
            <w:tcW w:w="1211" w:type="dxa"/>
            <w:noWrap w:val="0"/>
            <w:vAlign w:val="top"/>
          </w:tcPr>
          <w:p w14:paraId="29A278A7">
            <w:pPr>
              <w:pStyle w:val="5"/>
              <w:rPr>
                <w:rFonts w:hint="eastAsia"/>
                <w:sz w:val="22"/>
                <w:szCs w:val="22"/>
                <w:vertAlign w:val="baseline"/>
                <w:lang w:val="en-US" w:eastAsia="zh-CN"/>
              </w:rPr>
            </w:pPr>
          </w:p>
        </w:tc>
      </w:tr>
      <w:tr w14:paraId="65DC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4"/>
            <w:noWrap w:val="0"/>
            <w:vAlign w:val="center"/>
          </w:tcPr>
          <w:p w14:paraId="5CD14B4B">
            <w:pPr>
              <w:pStyle w:val="5"/>
              <w:jc w:val="left"/>
              <w:rPr>
                <w:rFonts w:hint="eastAsia"/>
                <w:sz w:val="22"/>
                <w:szCs w:val="22"/>
                <w:vertAlign w:val="baseline"/>
                <w:lang w:val="en-US" w:eastAsia="zh-CN"/>
              </w:rPr>
            </w:pPr>
            <w:r>
              <w:rPr>
                <w:rFonts w:hint="eastAsia" w:ascii="宋体" w:hAnsi="宋体" w:eastAsia="宋体" w:cs="宋体"/>
                <w:b/>
                <w:bCs/>
                <w:color w:val="auto"/>
                <w:sz w:val="22"/>
                <w:szCs w:val="22"/>
                <w:highlight w:val="none"/>
              </w:rPr>
              <w:t>以上</w:t>
            </w:r>
            <w:r>
              <w:rPr>
                <w:rFonts w:hint="eastAsia" w:ascii="宋体" w:hAnsi="宋体" w:cs="宋体"/>
                <w:b/>
                <w:bCs/>
                <w:color w:val="auto"/>
                <w:sz w:val="22"/>
                <w:szCs w:val="22"/>
                <w:highlight w:val="none"/>
                <w:lang w:val="en-US" w:eastAsia="zh-CN"/>
              </w:rPr>
              <w:t>带</w:t>
            </w:r>
            <w:r>
              <w:rPr>
                <w:rFonts w:hint="eastAsia" w:ascii="宋体" w:hAnsi="宋体" w:eastAsia="宋体" w:cs="宋体"/>
                <w:b/>
                <w:bCs/>
                <w:color w:val="auto"/>
                <w:sz w:val="22"/>
                <w:szCs w:val="22"/>
                <w:highlight w:val="none"/>
              </w:rPr>
              <w:t>★</w:t>
            </w:r>
            <w:r>
              <w:rPr>
                <w:rFonts w:hint="eastAsia" w:ascii="宋体" w:hAnsi="宋体" w:eastAsia="宋体" w:cs="宋体"/>
                <w:b/>
                <w:bCs/>
                <w:color w:val="auto"/>
                <w:sz w:val="22"/>
                <w:szCs w:val="22"/>
                <w:highlight w:val="none"/>
                <w:lang w:val="en-US" w:eastAsia="zh-CN"/>
              </w:rPr>
              <w:t>项的</w:t>
            </w:r>
            <w:r>
              <w:rPr>
                <w:rFonts w:hint="eastAsia" w:ascii="宋体" w:hAnsi="宋体" w:eastAsia="宋体" w:cs="宋体"/>
                <w:b/>
                <w:bCs/>
                <w:color w:val="auto"/>
                <w:sz w:val="22"/>
                <w:szCs w:val="22"/>
                <w:highlight w:val="none"/>
              </w:rPr>
              <w:t>技术性能指标均需</w:t>
            </w:r>
            <w:r>
              <w:rPr>
                <w:rFonts w:hint="eastAsia" w:ascii="宋体" w:hAnsi="宋体" w:eastAsia="宋体" w:cs="宋体"/>
                <w:b/>
                <w:bCs/>
                <w:color w:val="auto"/>
                <w:kern w:val="2"/>
                <w:sz w:val="22"/>
                <w:szCs w:val="22"/>
                <w:highlight w:val="none"/>
                <w:shd w:val="clear" w:color="auto" w:fill="auto"/>
                <w:lang w:val="en-US" w:eastAsia="zh-CN" w:bidi="ar-SA"/>
              </w:rPr>
              <w:t>同时提供</w:t>
            </w:r>
            <w:r>
              <w:rPr>
                <w:rFonts w:hint="eastAsia" w:ascii="宋体" w:hAnsi="宋体" w:eastAsia="宋体" w:cs="宋体"/>
                <w:b/>
                <w:bCs/>
                <w:color w:val="auto"/>
                <w:sz w:val="22"/>
                <w:szCs w:val="22"/>
                <w:highlight w:val="none"/>
                <w:lang w:bidi="zh-CN"/>
              </w:rPr>
              <w:t>第三方</w:t>
            </w:r>
            <w:r>
              <w:rPr>
                <w:rFonts w:hint="eastAsia" w:ascii="宋体" w:hAnsi="宋体" w:eastAsia="宋体" w:cs="宋体"/>
                <w:b/>
                <w:bCs/>
                <w:color w:val="auto"/>
                <w:kern w:val="2"/>
                <w:sz w:val="22"/>
                <w:szCs w:val="22"/>
                <w:highlight w:val="none"/>
                <w:shd w:val="clear" w:color="auto" w:fill="auto"/>
                <w:lang w:val="en-US" w:eastAsia="zh-CN" w:bidi="ar-SA"/>
              </w:rPr>
              <w:t>检验检测机构在CMA资质认定范围内出具的检验检测报告扫描件</w:t>
            </w:r>
            <w:r>
              <w:rPr>
                <w:rFonts w:hint="eastAsia" w:ascii="宋体" w:hAnsi="宋体" w:cs="宋体"/>
                <w:b/>
                <w:bCs/>
                <w:color w:val="auto"/>
                <w:kern w:val="2"/>
                <w:sz w:val="22"/>
                <w:szCs w:val="22"/>
                <w:highlight w:val="none"/>
                <w:shd w:val="clear" w:color="auto" w:fill="auto"/>
                <w:lang w:val="en-US" w:eastAsia="zh-CN" w:bidi="ar-SA"/>
              </w:rPr>
              <w:t>。</w:t>
            </w:r>
          </w:p>
        </w:tc>
      </w:tr>
    </w:tbl>
    <w:p w14:paraId="38405010">
      <w:pPr>
        <w:snapToGrid w:val="0"/>
        <w:spacing w:line="440" w:lineRule="exact"/>
        <w:rPr>
          <w:rFonts w:hint="eastAsia" w:ascii="宋体" w:hAnsi="宋体" w:eastAsia="宋体" w:cs="宋体"/>
          <w:b/>
          <w:bCs/>
          <w:color w:val="auto"/>
          <w:sz w:val="22"/>
          <w:szCs w:val="22"/>
          <w:highlight w:val="none"/>
          <w:lang w:bidi="ar"/>
        </w:rPr>
      </w:pPr>
      <w:r>
        <w:rPr>
          <w:rFonts w:hint="eastAsia" w:ascii="宋体" w:hAnsi="宋体" w:eastAsia="宋体" w:cs="宋体"/>
          <w:color w:val="auto"/>
          <w:sz w:val="22"/>
          <w:szCs w:val="22"/>
          <w:highlight w:val="none"/>
          <w:lang w:val="en-US" w:eastAsia="zh-CN"/>
        </w:rPr>
        <w:t>（三）</w:t>
      </w:r>
      <w:r>
        <w:rPr>
          <w:rFonts w:hint="eastAsia" w:ascii="宋体" w:hAnsi="宋体" w:eastAsia="宋体" w:cs="宋体"/>
          <w:b/>
          <w:bCs/>
          <w:color w:val="auto"/>
          <w:spacing w:val="0"/>
          <w:sz w:val="22"/>
          <w:szCs w:val="22"/>
          <w:highlight w:val="none"/>
          <w:lang w:bidi="ar"/>
        </w:rPr>
        <w:t>其他要求</w:t>
      </w:r>
    </w:p>
    <w:p w14:paraId="60320ADB">
      <w:pPr>
        <w:spacing w:line="78" w:lineRule="exact"/>
        <w:rPr>
          <w:rFonts w:hint="eastAsia" w:ascii="宋体" w:hAnsi="宋体" w:eastAsia="宋体" w:cs="宋体"/>
          <w:color w:val="auto"/>
          <w:sz w:val="21"/>
          <w:szCs w:val="21"/>
          <w:highlight w:val="none"/>
        </w:rPr>
      </w:pPr>
    </w:p>
    <w:tbl>
      <w:tblPr>
        <w:tblStyle w:val="10"/>
        <w:tblW w:w="981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2"/>
        <w:gridCol w:w="8738"/>
      </w:tblGrid>
      <w:tr w14:paraId="51F25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72" w:type="dxa"/>
            <w:noWrap w:val="0"/>
            <w:vAlign w:val="center"/>
          </w:tcPr>
          <w:p w14:paraId="59D2F91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w:t>
            </w:r>
          </w:p>
        </w:tc>
        <w:tc>
          <w:tcPr>
            <w:tcW w:w="8738" w:type="dxa"/>
            <w:noWrap w:val="0"/>
            <w:vAlign w:val="top"/>
          </w:tcPr>
          <w:p w14:paraId="2F69F47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布窗帘的设计、制造和安装标准</w:t>
            </w:r>
          </w:p>
        </w:tc>
      </w:tr>
      <w:tr w14:paraId="495D8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72" w:type="dxa"/>
            <w:noWrap w:val="0"/>
            <w:vAlign w:val="center"/>
          </w:tcPr>
          <w:p w14:paraId="07BA3D1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1.1</w:t>
            </w:r>
          </w:p>
        </w:tc>
        <w:tc>
          <w:tcPr>
            <w:tcW w:w="8738" w:type="dxa"/>
            <w:noWrap w:val="0"/>
            <w:vAlign w:val="top"/>
          </w:tcPr>
          <w:p w14:paraId="79EA279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设计要求</w:t>
            </w:r>
          </w:p>
        </w:tc>
      </w:tr>
      <w:tr w14:paraId="329870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072" w:type="dxa"/>
            <w:noWrap w:val="0"/>
            <w:vAlign w:val="center"/>
          </w:tcPr>
          <w:p w14:paraId="7808E08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1.1.1</w:t>
            </w:r>
          </w:p>
        </w:tc>
        <w:tc>
          <w:tcPr>
            <w:tcW w:w="8738" w:type="dxa"/>
            <w:noWrap w:val="0"/>
            <w:vAlign w:val="top"/>
          </w:tcPr>
          <w:p w14:paraId="4B47AA3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与使用单位室内场景色彩效果协调。</w:t>
            </w:r>
          </w:p>
        </w:tc>
      </w:tr>
      <w:tr w14:paraId="5917D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72" w:type="dxa"/>
            <w:noWrap w:val="0"/>
            <w:vAlign w:val="center"/>
          </w:tcPr>
          <w:p w14:paraId="6889E22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1.2</w:t>
            </w:r>
          </w:p>
        </w:tc>
        <w:tc>
          <w:tcPr>
            <w:tcW w:w="8738" w:type="dxa"/>
            <w:noWrap w:val="0"/>
            <w:vAlign w:val="top"/>
          </w:tcPr>
          <w:p w14:paraId="6DCC56F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制作要求</w:t>
            </w:r>
          </w:p>
        </w:tc>
      </w:tr>
      <w:tr w14:paraId="48BAB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72" w:type="dxa"/>
            <w:noWrap w:val="0"/>
            <w:vAlign w:val="center"/>
          </w:tcPr>
          <w:p w14:paraId="56C4B05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1.2.1</w:t>
            </w:r>
          </w:p>
        </w:tc>
        <w:tc>
          <w:tcPr>
            <w:tcW w:w="8738" w:type="dxa"/>
            <w:noWrap w:val="0"/>
            <w:vAlign w:val="top"/>
          </w:tcPr>
          <w:p w14:paraId="592952D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rPr>
              <w:t>布帘：从布料顶端边缘转内车制80mm(±5mm）压边，并加上内衬物，底端边缘放边为80mm(±5mm）宽边，两边各为40mm(±5mm）饰边。同一扇窗，面料裁剪误差不得大于1cm，同一平面窗帘，面料裁剪误差不得大于1cm。</w:t>
            </w:r>
          </w:p>
          <w:p w14:paraId="1F39048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包含所有配件。</w:t>
            </w:r>
          </w:p>
        </w:tc>
      </w:tr>
      <w:tr w14:paraId="38BAC7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72" w:type="dxa"/>
            <w:noWrap w:val="0"/>
            <w:vAlign w:val="center"/>
          </w:tcPr>
          <w:p w14:paraId="4E87CE3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rPr>
            </w:pPr>
          </w:p>
          <w:p w14:paraId="47CCCC0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rPr>
            </w:pPr>
          </w:p>
          <w:p w14:paraId="67E4EE1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1.2.2</w:t>
            </w:r>
          </w:p>
        </w:tc>
        <w:tc>
          <w:tcPr>
            <w:tcW w:w="8738" w:type="dxa"/>
            <w:noWrap w:val="0"/>
            <w:vAlign w:val="top"/>
          </w:tcPr>
          <w:p w14:paraId="2B1D9BA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帘布下边离地3cm。窗帘辅料采用8cm有纺布缝制，调节钩制作工艺。1米不少于1</w:t>
            </w:r>
            <w:r>
              <w:rPr>
                <w:rFonts w:hint="eastAsia" w:ascii="宋体" w:hAnsi="宋体" w:eastAsia="宋体" w:cs="宋体"/>
                <w:color w:val="auto"/>
                <w:sz w:val="22"/>
                <w:szCs w:val="22"/>
                <w:lang w:val="en-US" w:eastAsia="zh-CN"/>
              </w:rPr>
              <w:t>2</w:t>
            </w:r>
            <w:r>
              <w:rPr>
                <w:rFonts w:hint="eastAsia" w:ascii="宋体" w:hAnsi="宋体" w:eastAsia="宋体" w:cs="宋体"/>
                <w:color w:val="auto"/>
                <w:sz w:val="22"/>
                <w:szCs w:val="22"/>
              </w:rPr>
              <w:t>个单钩，钩子套好后必须平整牢固，钩距布置合理；每幅窗帘左右两侧底角需加配重，单边铅块重量不小于</w:t>
            </w:r>
            <w:r>
              <w:rPr>
                <w:rFonts w:hint="eastAsia" w:ascii="宋体" w:hAnsi="宋体" w:eastAsia="宋体" w:cs="宋体"/>
                <w:color w:val="auto"/>
                <w:sz w:val="22"/>
                <w:szCs w:val="22"/>
                <w:lang w:val="en-US" w:eastAsia="zh-CN"/>
              </w:rPr>
              <w:t>80</w:t>
            </w:r>
            <w:r>
              <w:rPr>
                <w:rFonts w:hint="eastAsia" w:ascii="宋体" w:hAnsi="宋体" w:eastAsia="宋体" w:cs="宋体"/>
                <w:color w:val="auto"/>
                <w:sz w:val="22"/>
                <w:szCs w:val="22"/>
              </w:rPr>
              <w:t>克。</w:t>
            </w:r>
          </w:p>
        </w:tc>
      </w:tr>
      <w:tr w14:paraId="48D064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72" w:type="dxa"/>
            <w:noWrap w:val="0"/>
            <w:vAlign w:val="center"/>
          </w:tcPr>
          <w:p w14:paraId="18C9903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1.2.3</w:t>
            </w:r>
          </w:p>
        </w:tc>
        <w:tc>
          <w:tcPr>
            <w:tcW w:w="8738" w:type="dxa"/>
            <w:noWrap w:val="0"/>
            <w:vAlign w:val="top"/>
          </w:tcPr>
          <w:p w14:paraId="1518094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需高温定型制作工艺，水洗后不变型。</w:t>
            </w:r>
          </w:p>
        </w:tc>
      </w:tr>
      <w:tr w14:paraId="23738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72" w:type="dxa"/>
            <w:noWrap w:val="0"/>
            <w:vAlign w:val="center"/>
          </w:tcPr>
          <w:p w14:paraId="546E85B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1.3</w:t>
            </w:r>
          </w:p>
        </w:tc>
        <w:tc>
          <w:tcPr>
            <w:tcW w:w="8738" w:type="dxa"/>
            <w:noWrap w:val="0"/>
            <w:vAlign w:val="top"/>
          </w:tcPr>
          <w:p w14:paraId="1222C7A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成品效果要求</w:t>
            </w:r>
          </w:p>
        </w:tc>
      </w:tr>
      <w:tr w14:paraId="4ECF5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72" w:type="dxa"/>
            <w:noWrap w:val="0"/>
            <w:vAlign w:val="center"/>
          </w:tcPr>
          <w:p w14:paraId="7D54E14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1.3.1</w:t>
            </w:r>
          </w:p>
        </w:tc>
        <w:tc>
          <w:tcPr>
            <w:tcW w:w="8738" w:type="dxa"/>
            <w:noWrap w:val="0"/>
            <w:vAlign w:val="top"/>
          </w:tcPr>
          <w:p w14:paraId="1984126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窗帘成品必须理顺花型、花位，花型、花位方向要一致。面料裁剪断口必须平直通角，门幅通角差不得有误差。</w:t>
            </w:r>
          </w:p>
        </w:tc>
      </w:tr>
      <w:tr w14:paraId="0401A3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72" w:type="dxa"/>
            <w:noWrap w:val="0"/>
            <w:vAlign w:val="center"/>
          </w:tcPr>
          <w:p w14:paraId="55E420A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1.3.2</w:t>
            </w:r>
          </w:p>
        </w:tc>
        <w:tc>
          <w:tcPr>
            <w:tcW w:w="8738" w:type="dxa"/>
            <w:noWrap w:val="0"/>
            <w:vAlign w:val="top"/>
          </w:tcPr>
          <w:p w14:paraId="7630806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针迹大小一致，如中途断线，继续缝纫时要与原来针迹相套5公分以上。接缝的针迹不能跑偏错位。</w:t>
            </w:r>
          </w:p>
        </w:tc>
      </w:tr>
      <w:tr w14:paraId="069707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72" w:type="dxa"/>
            <w:noWrap w:val="0"/>
            <w:vAlign w:val="center"/>
          </w:tcPr>
          <w:p w14:paraId="4935E50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1.3.3</w:t>
            </w:r>
          </w:p>
        </w:tc>
        <w:tc>
          <w:tcPr>
            <w:tcW w:w="8738" w:type="dxa"/>
            <w:noWrap w:val="0"/>
            <w:vAlign w:val="top"/>
          </w:tcPr>
          <w:p w14:paraId="471273E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rPr>
              <w:t>制作好的窗帘布拼缝平直，无扭曲，无漏针</w:t>
            </w:r>
            <w:r>
              <w:rPr>
                <w:rFonts w:hint="eastAsia" w:ascii="宋体" w:hAnsi="宋体" w:cs="宋体"/>
                <w:color w:val="auto"/>
                <w:sz w:val="22"/>
                <w:szCs w:val="22"/>
                <w:lang w:eastAsia="zh-CN"/>
              </w:rPr>
              <w:t>。</w:t>
            </w:r>
          </w:p>
        </w:tc>
      </w:tr>
      <w:tr w14:paraId="40A57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72" w:type="dxa"/>
            <w:noWrap w:val="0"/>
            <w:vAlign w:val="center"/>
          </w:tcPr>
          <w:p w14:paraId="384A423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1.3.4</w:t>
            </w:r>
          </w:p>
        </w:tc>
        <w:tc>
          <w:tcPr>
            <w:tcW w:w="8738" w:type="dxa"/>
            <w:noWrap w:val="0"/>
            <w:vAlign w:val="top"/>
          </w:tcPr>
          <w:p w14:paraId="6D82447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帘布整体做定型处理呈现波形状态，不损坏、不弄脏窗帘。</w:t>
            </w:r>
          </w:p>
        </w:tc>
      </w:tr>
      <w:tr w14:paraId="04B691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72" w:type="dxa"/>
            <w:noWrap w:val="0"/>
            <w:vAlign w:val="center"/>
          </w:tcPr>
          <w:p w14:paraId="5E60D18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1.3.5</w:t>
            </w:r>
          </w:p>
        </w:tc>
        <w:tc>
          <w:tcPr>
            <w:tcW w:w="8738" w:type="dxa"/>
            <w:noWrap w:val="0"/>
            <w:vAlign w:val="top"/>
          </w:tcPr>
          <w:p w14:paraId="55D527E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成品挂起后保证视平线及以上的花纹水平，左右两片的横花能对齐。</w:t>
            </w:r>
          </w:p>
        </w:tc>
      </w:tr>
      <w:tr w14:paraId="15BAE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72" w:type="dxa"/>
            <w:noWrap w:val="0"/>
            <w:vAlign w:val="center"/>
          </w:tcPr>
          <w:p w14:paraId="697BD4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1.3.6</w:t>
            </w:r>
          </w:p>
        </w:tc>
        <w:tc>
          <w:tcPr>
            <w:tcW w:w="8738" w:type="dxa"/>
            <w:noWrap w:val="0"/>
            <w:vAlign w:val="top"/>
          </w:tcPr>
          <w:p w14:paraId="76BFC73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成品无线头无污迹。</w:t>
            </w:r>
          </w:p>
        </w:tc>
      </w:tr>
      <w:tr w14:paraId="08FAC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72" w:type="dxa"/>
            <w:noWrap w:val="0"/>
            <w:vAlign w:val="center"/>
          </w:tcPr>
          <w:p w14:paraId="4186FC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1.3.7</w:t>
            </w:r>
          </w:p>
        </w:tc>
        <w:tc>
          <w:tcPr>
            <w:tcW w:w="8738" w:type="dxa"/>
            <w:noWrap w:val="0"/>
            <w:vAlign w:val="top"/>
          </w:tcPr>
          <w:p w14:paraId="3A75BB1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烫衬时要保持丝线平直、不起泡，线头杂物须烫在衬布与布料的中间，花边结头不能明显暴露。</w:t>
            </w:r>
          </w:p>
        </w:tc>
      </w:tr>
      <w:tr w14:paraId="0A6A2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72" w:type="dxa"/>
            <w:noWrap w:val="0"/>
            <w:vAlign w:val="center"/>
          </w:tcPr>
          <w:p w14:paraId="538DFCE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1.3</w:t>
            </w:r>
            <w:r>
              <w:rPr>
                <w:rFonts w:hint="eastAsia" w:ascii="宋体" w:hAnsi="宋体" w:cs="宋体"/>
                <w:color w:val="auto"/>
                <w:sz w:val="22"/>
                <w:szCs w:val="22"/>
                <w:lang w:val="en-US" w:eastAsia="zh-CN"/>
              </w:rPr>
              <w:t>.8</w:t>
            </w:r>
          </w:p>
        </w:tc>
        <w:tc>
          <w:tcPr>
            <w:tcW w:w="8738" w:type="dxa"/>
            <w:noWrap w:val="0"/>
            <w:vAlign w:val="top"/>
          </w:tcPr>
          <w:p w14:paraId="6F48048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成品窗帘褶皱间距不大于9cm。</w:t>
            </w:r>
          </w:p>
        </w:tc>
      </w:tr>
      <w:tr w14:paraId="1B3F7A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72" w:type="dxa"/>
            <w:noWrap w:val="0"/>
            <w:vAlign w:val="center"/>
          </w:tcPr>
          <w:p w14:paraId="41B8969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1.4</w:t>
            </w:r>
          </w:p>
        </w:tc>
        <w:tc>
          <w:tcPr>
            <w:tcW w:w="8738" w:type="dxa"/>
            <w:noWrap w:val="0"/>
            <w:vAlign w:val="top"/>
          </w:tcPr>
          <w:p w14:paraId="7318056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安装要求</w:t>
            </w:r>
          </w:p>
        </w:tc>
      </w:tr>
      <w:tr w14:paraId="186B7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jc w:val="center"/>
        </w:trPr>
        <w:tc>
          <w:tcPr>
            <w:tcW w:w="1072" w:type="dxa"/>
            <w:noWrap w:val="0"/>
            <w:vAlign w:val="center"/>
          </w:tcPr>
          <w:p w14:paraId="6FF3BC2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1.4.1</w:t>
            </w:r>
          </w:p>
        </w:tc>
        <w:tc>
          <w:tcPr>
            <w:tcW w:w="8738" w:type="dxa"/>
            <w:noWrap w:val="0"/>
            <w:vAlign w:val="top"/>
          </w:tcPr>
          <w:p w14:paraId="157D54C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布帘轨道安装每米至少配置</w:t>
            </w: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个安装支架，滑轮不少于1</w:t>
            </w:r>
            <w:r>
              <w:rPr>
                <w:rFonts w:hint="eastAsia" w:ascii="宋体" w:hAnsi="宋体" w:eastAsia="宋体" w:cs="宋体"/>
                <w:color w:val="auto"/>
                <w:sz w:val="22"/>
                <w:szCs w:val="22"/>
                <w:lang w:val="en-US" w:eastAsia="zh-CN"/>
              </w:rPr>
              <w:t>0</w:t>
            </w:r>
            <w:r>
              <w:rPr>
                <w:rFonts w:hint="eastAsia" w:ascii="宋体" w:hAnsi="宋体" w:eastAsia="宋体" w:cs="宋体"/>
                <w:color w:val="auto"/>
                <w:sz w:val="22"/>
                <w:szCs w:val="22"/>
              </w:rPr>
              <w:t>只。</w:t>
            </w:r>
          </w:p>
        </w:tc>
      </w:tr>
    </w:tbl>
    <w:p w14:paraId="1087D820">
      <w:pPr>
        <w:keepNext w:val="0"/>
        <w:keepLines w:val="0"/>
        <w:pageBreakBefore w:val="0"/>
        <w:widowControl w:val="0"/>
        <w:kinsoku/>
        <w:wordWrap/>
        <w:overflowPunct/>
        <w:topLinePunct w:val="0"/>
        <w:autoSpaceDE/>
        <w:autoSpaceDN/>
        <w:bidi w:val="0"/>
        <w:spacing w:line="440" w:lineRule="exact"/>
        <w:ind w:left="550" w:hanging="550" w:hangingChars="250"/>
        <w:textAlignment w:val="auto"/>
        <w:rPr>
          <w:rFonts w:hint="eastAsia" w:ascii="宋体" w:hAnsi="宋体" w:eastAsia="宋体" w:cs="宋体"/>
          <w:b/>
          <w:bCs/>
          <w:color w:val="auto"/>
          <w:sz w:val="22"/>
          <w:szCs w:val="22"/>
          <w:highlight w:val="none"/>
          <w:lang w:val="en-US" w:eastAsia="zh-CN"/>
        </w:rPr>
      </w:pPr>
      <w:bookmarkStart w:id="0" w:name="_Toc7207"/>
      <w:r>
        <w:rPr>
          <w:rFonts w:hint="eastAsia" w:ascii="宋体" w:hAnsi="宋体" w:eastAsia="宋体" w:cs="宋体"/>
          <w:b/>
          <w:bCs/>
          <w:color w:val="auto"/>
          <w:sz w:val="22"/>
          <w:szCs w:val="22"/>
          <w:highlight w:val="none"/>
          <w:lang w:val="en-US" w:eastAsia="zh-CN"/>
        </w:rPr>
        <w:t>（四）  投标样品</w:t>
      </w:r>
    </w:p>
    <w:p w14:paraId="0992B60F">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需要提供的样品名称、规格、数量：</w:t>
      </w:r>
    </w:p>
    <w:tbl>
      <w:tblPr>
        <w:tblStyle w:val="7"/>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2323"/>
        <w:gridCol w:w="4644"/>
        <w:gridCol w:w="804"/>
        <w:gridCol w:w="1250"/>
      </w:tblGrid>
      <w:tr w14:paraId="5F994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16" w:type="dxa"/>
            <w:shd w:val="clear" w:color="auto" w:fill="EEECE1"/>
            <w:noWrap w:val="0"/>
            <w:vAlign w:val="center"/>
          </w:tcPr>
          <w:p w14:paraId="7D2B1A29">
            <w:pPr>
              <w:overflowPunct w:val="0"/>
              <w:spacing w:line="480" w:lineRule="exact"/>
              <w:jc w:val="center"/>
              <w:rPr>
                <w:rFonts w:ascii="宋体" w:hAnsi="宋体" w:eastAsia="宋体" w:cs="宋体"/>
                <w:b/>
                <w:color w:val="auto"/>
                <w:sz w:val="22"/>
                <w:szCs w:val="22"/>
                <w:highlight w:val="none"/>
                <w:lang w:bidi="ar"/>
              </w:rPr>
            </w:pPr>
            <w:r>
              <w:rPr>
                <w:rFonts w:hint="eastAsia" w:ascii="宋体" w:hAnsi="宋体" w:eastAsia="宋体" w:cs="宋体"/>
                <w:b/>
                <w:color w:val="auto"/>
                <w:sz w:val="22"/>
                <w:szCs w:val="22"/>
                <w:highlight w:val="none"/>
                <w:lang w:bidi="ar"/>
              </w:rPr>
              <w:t>序号</w:t>
            </w:r>
          </w:p>
        </w:tc>
        <w:tc>
          <w:tcPr>
            <w:tcW w:w="2323" w:type="dxa"/>
            <w:shd w:val="clear" w:color="auto" w:fill="EEECE1"/>
            <w:noWrap w:val="0"/>
            <w:vAlign w:val="center"/>
          </w:tcPr>
          <w:p w14:paraId="4096DBB8">
            <w:pPr>
              <w:overflowPunct w:val="0"/>
              <w:spacing w:line="480" w:lineRule="exact"/>
              <w:jc w:val="center"/>
              <w:rPr>
                <w:rFonts w:ascii="宋体" w:hAnsi="宋体" w:eastAsia="宋体" w:cs="宋体"/>
                <w:b/>
                <w:color w:val="auto"/>
                <w:sz w:val="22"/>
                <w:szCs w:val="22"/>
                <w:highlight w:val="none"/>
                <w:lang w:bidi="ar"/>
              </w:rPr>
            </w:pPr>
            <w:r>
              <w:rPr>
                <w:rFonts w:hint="eastAsia" w:ascii="宋体" w:hAnsi="宋体" w:eastAsia="宋体" w:cs="宋体"/>
                <w:b/>
                <w:color w:val="auto"/>
                <w:sz w:val="22"/>
                <w:szCs w:val="22"/>
                <w:highlight w:val="none"/>
                <w:lang w:bidi="ar"/>
              </w:rPr>
              <w:t>样品名称</w:t>
            </w:r>
          </w:p>
        </w:tc>
        <w:tc>
          <w:tcPr>
            <w:tcW w:w="4644" w:type="dxa"/>
            <w:shd w:val="clear" w:color="auto" w:fill="EEECE1"/>
            <w:noWrap w:val="0"/>
            <w:vAlign w:val="center"/>
          </w:tcPr>
          <w:p w14:paraId="37F0FD98">
            <w:pPr>
              <w:overflowPunct w:val="0"/>
              <w:spacing w:line="480" w:lineRule="exact"/>
              <w:jc w:val="center"/>
              <w:rPr>
                <w:rFonts w:ascii="宋体" w:hAnsi="宋体" w:eastAsia="宋体" w:cs="宋体"/>
                <w:b/>
                <w:color w:val="auto"/>
                <w:sz w:val="22"/>
                <w:szCs w:val="22"/>
                <w:highlight w:val="none"/>
                <w:lang w:bidi="ar"/>
              </w:rPr>
            </w:pPr>
            <w:r>
              <w:rPr>
                <w:rFonts w:hint="eastAsia" w:ascii="宋体" w:hAnsi="宋体" w:eastAsia="宋体" w:cs="宋体"/>
                <w:b/>
                <w:color w:val="auto"/>
                <w:sz w:val="22"/>
                <w:szCs w:val="22"/>
                <w:highlight w:val="none"/>
                <w:lang w:bidi="ar"/>
              </w:rPr>
              <w:t>成品样品规格要求</w:t>
            </w:r>
          </w:p>
        </w:tc>
        <w:tc>
          <w:tcPr>
            <w:tcW w:w="804" w:type="dxa"/>
            <w:shd w:val="clear" w:color="auto" w:fill="EEECE1"/>
            <w:noWrap w:val="0"/>
            <w:vAlign w:val="center"/>
          </w:tcPr>
          <w:p w14:paraId="73A95B73">
            <w:pPr>
              <w:overflowPunct w:val="0"/>
              <w:spacing w:line="480" w:lineRule="exact"/>
              <w:jc w:val="center"/>
              <w:rPr>
                <w:rFonts w:ascii="宋体" w:hAnsi="宋体" w:eastAsia="宋体" w:cs="宋体"/>
                <w:b/>
                <w:color w:val="auto"/>
                <w:sz w:val="22"/>
                <w:szCs w:val="22"/>
                <w:highlight w:val="none"/>
                <w:lang w:bidi="ar"/>
              </w:rPr>
            </w:pPr>
            <w:r>
              <w:rPr>
                <w:rFonts w:hint="eastAsia" w:ascii="宋体" w:hAnsi="宋体" w:eastAsia="宋体" w:cs="宋体"/>
                <w:b/>
                <w:color w:val="auto"/>
                <w:sz w:val="22"/>
                <w:szCs w:val="22"/>
                <w:highlight w:val="none"/>
                <w:lang w:bidi="ar"/>
              </w:rPr>
              <w:t>数量</w:t>
            </w:r>
          </w:p>
        </w:tc>
        <w:tc>
          <w:tcPr>
            <w:tcW w:w="1250" w:type="dxa"/>
            <w:shd w:val="clear" w:color="auto" w:fill="EEECE1"/>
            <w:noWrap w:val="0"/>
            <w:vAlign w:val="center"/>
          </w:tcPr>
          <w:p w14:paraId="47D58050">
            <w:pPr>
              <w:overflowPunct w:val="0"/>
              <w:spacing w:line="480" w:lineRule="exact"/>
              <w:jc w:val="center"/>
              <w:rPr>
                <w:rFonts w:ascii="宋体" w:hAnsi="宋体" w:eastAsia="宋体" w:cs="宋体"/>
                <w:b/>
                <w:color w:val="auto"/>
                <w:sz w:val="22"/>
                <w:szCs w:val="22"/>
                <w:highlight w:val="none"/>
                <w:lang w:bidi="ar"/>
              </w:rPr>
            </w:pPr>
            <w:r>
              <w:rPr>
                <w:rFonts w:hint="eastAsia" w:ascii="宋体" w:hAnsi="宋体" w:eastAsia="宋体" w:cs="宋体"/>
                <w:b/>
                <w:color w:val="auto"/>
                <w:sz w:val="22"/>
                <w:szCs w:val="22"/>
                <w:highlight w:val="none"/>
                <w:lang w:bidi="ar"/>
              </w:rPr>
              <w:t>单位</w:t>
            </w:r>
          </w:p>
        </w:tc>
      </w:tr>
      <w:tr w14:paraId="258B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16" w:type="dxa"/>
            <w:noWrap w:val="0"/>
            <w:vAlign w:val="center"/>
          </w:tcPr>
          <w:p w14:paraId="75727E6A">
            <w:pPr>
              <w:overflowPunct w:val="0"/>
              <w:spacing w:line="480" w:lineRule="exact"/>
              <w:jc w:val="center"/>
              <w:rPr>
                <w:rFonts w:ascii="宋体" w:hAnsi="宋体" w:eastAsia="宋体" w:cs="宋体"/>
                <w:bCs/>
                <w:color w:val="auto"/>
                <w:sz w:val="22"/>
                <w:szCs w:val="22"/>
                <w:highlight w:val="none"/>
                <w:lang w:bidi="ar"/>
              </w:rPr>
            </w:pPr>
            <w:r>
              <w:rPr>
                <w:rFonts w:hint="eastAsia" w:ascii="宋体" w:hAnsi="宋体" w:eastAsia="宋体" w:cs="宋体"/>
                <w:bCs/>
                <w:color w:val="auto"/>
                <w:sz w:val="22"/>
                <w:szCs w:val="22"/>
                <w:highlight w:val="none"/>
                <w:lang w:bidi="ar"/>
              </w:rPr>
              <w:t>1</w:t>
            </w:r>
          </w:p>
        </w:tc>
        <w:tc>
          <w:tcPr>
            <w:tcW w:w="2323" w:type="dxa"/>
            <w:noWrap w:val="0"/>
            <w:vAlign w:val="center"/>
          </w:tcPr>
          <w:p w14:paraId="2B7D2AD7">
            <w:pPr>
              <w:keepNext w:val="0"/>
              <w:keepLines w:val="0"/>
              <w:widowControl/>
              <w:suppressLineNumbers w:val="0"/>
              <w:jc w:val="center"/>
              <w:textAlignment w:val="center"/>
              <w:rPr>
                <w:rFonts w:ascii="宋体" w:hAnsi="宋体" w:eastAsia="宋体" w:cs="宋体"/>
                <w:bCs/>
                <w:color w:val="auto"/>
                <w:sz w:val="22"/>
                <w:szCs w:val="22"/>
                <w:highlight w:val="none"/>
                <w:lang w:bidi="ar"/>
              </w:rPr>
            </w:pPr>
            <w:r>
              <w:rPr>
                <w:rFonts w:hint="eastAsia" w:ascii="宋体" w:hAnsi="宋体" w:eastAsia="宋体" w:cs="宋体"/>
                <w:i w:val="0"/>
                <w:iCs w:val="0"/>
                <w:color w:val="000000"/>
                <w:kern w:val="0"/>
                <w:sz w:val="22"/>
                <w:szCs w:val="22"/>
                <w:u w:val="none"/>
                <w:lang w:val="en-US" w:eastAsia="zh-CN" w:bidi="ar"/>
              </w:rPr>
              <w:t>窗帘布</w:t>
            </w:r>
          </w:p>
        </w:tc>
        <w:tc>
          <w:tcPr>
            <w:tcW w:w="4644" w:type="dxa"/>
            <w:noWrap w:val="0"/>
            <w:vAlign w:val="center"/>
          </w:tcPr>
          <w:p w14:paraId="1652671E">
            <w:pPr>
              <w:overflowPunct w:val="0"/>
              <w:spacing w:line="480" w:lineRule="exact"/>
              <w:jc w:val="center"/>
              <w:rPr>
                <w:rFonts w:ascii="宋体" w:hAnsi="宋体" w:eastAsia="宋体" w:cs="宋体"/>
                <w:bCs/>
                <w:color w:val="auto"/>
                <w:sz w:val="22"/>
                <w:szCs w:val="22"/>
                <w:highlight w:val="none"/>
                <w:lang w:bidi="ar"/>
              </w:rPr>
            </w:pPr>
            <w:r>
              <w:rPr>
                <w:rFonts w:hint="eastAsia" w:ascii="宋体" w:hAnsi="宋体" w:cs="宋体"/>
                <w:color w:val="auto"/>
                <w:sz w:val="22"/>
                <w:szCs w:val="22"/>
                <w:highlight w:val="none"/>
              </w:rPr>
              <w:t>长</w:t>
            </w:r>
            <w:r>
              <w:rPr>
                <w:rFonts w:hint="eastAsia" w:ascii="宋体" w:hAnsi="宋体" w:eastAsia="宋体" w:cs="宋体"/>
                <w:color w:val="auto"/>
                <w:sz w:val="22"/>
                <w:szCs w:val="22"/>
                <w:highlight w:val="none"/>
              </w:rPr>
              <w:t>不小于</w:t>
            </w:r>
            <w:r>
              <w:rPr>
                <w:rFonts w:hint="eastAsia" w:ascii="宋体" w:hAnsi="宋体" w:cs="宋体"/>
                <w:color w:val="auto"/>
                <w:sz w:val="22"/>
                <w:szCs w:val="22"/>
                <w:highlight w:val="none"/>
                <w:lang w:val="en-US" w:eastAsia="zh-CN"/>
              </w:rPr>
              <w:t>10</w:t>
            </w:r>
            <w:r>
              <w:rPr>
                <w:rFonts w:hint="eastAsia" w:ascii="宋体" w:hAnsi="宋体" w:cs="宋体"/>
                <w:color w:val="auto"/>
                <w:sz w:val="22"/>
                <w:szCs w:val="22"/>
                <w:highlight w:val="none"/>
              </w:rPr>
              <w:t>0cm*宽</w:t>
            </w:r>
            <w:r>
              <w:rPr>
                <w:rFonts w:hint="eastAsia" w:ascii="宋体" w:hAnsi="宋体" w:eastAsia="宋体" w:cs="宋体"/>
                <w:color w:val="auto"/>
                <w:sz w:val="22"/>
                <w:szCs w:val="22"/>
                <w:highlight w:val="none"/>
              </w:rPr>
              <w:t>不小于</w:t>
            </w:r>
            <w:r>
              <w:rPr>
                <w:rFonts w:hint="eastAsia" w:ascii="宋体" w:hAnsi="宋体" w:cs="宋体"/>
                <w:color w:val="auto"/>
                <w:sz w:val="22"/>
                <w:szCs w:val="22"/>
                <w:highlight w:val="none"/>
                <w:lang w:val="en-US" w:eastAsia="zh-CN"/>
              </w:rPr>
              <w:t>8</w:t>
            </w:r>
            <w:r>
              <w:rPr>
                <w:rFonts w:hint="eastAsia" w:ascii="宋体" w:hAnsi="宋体" w:cs="宋体"/>
                <w:color w:val="auto"/>
                <w:sz w:val="22"/>
                <w:szCs w:val="22"/>
                <w:highlight w:val="none"/>
              </w:rPr>
              <w:t>0cm，</w:t>
            </w:r>
            <w:r>
              <w:rPr>
                <w:rFonts w:hint="eastAsia" w:ascii="宋体" w:hAnsi="宋体" w:cs="宋体"/>
                <w:color w:val="auto"/>
                <w:kern w:val="0"/>
                <w:sz w:val="22"/>
                <w:szCs w:val="22"/>
                <w:highlight w:val="none"/>
                <w:lang w:bidi="ar"/>
              </w:rPr>
              <w:t>含配件</w:t>
            </w:r>
          </w:p>
        </w:tc>
        <w:tc>
          <w:tcPr>
            <w:tcW w:w="804" w:type="dxa"/>
            <w:noWrap w:val="0"/>
            <w:vAlign w:val="center"/>
          </w:tcPr>
          <w:p w14:paraId="57FE79AD">
            <w:pPr>
              <w:overflowPunct w:val="0"/>
              <w:spacing w:line="480" w:lineRule="exact"/>
              <w:jc w:val="center"/>
              <w:rPr>
                <w:rFonts w:ascii="宋体" w:hAnsi="宋体" w:eastAsia="宋体" w:cs="宋体"/>
                <w:bCs/>
                <w:color w:val="auto"/>
                <w:sz w:val="22"/>
                <w:szCs w:val="22"/>
                <w:highlight w:val="none"/>
                <w:lang w:bidi="ar"/>
              </w:rPr>
            </w:pPr>
            <w:r>
              <w:rPr>
                <w:rFonts w:hint="eastAsia" w:ascii="宋体" w:hAnsi="宋体" w:eastAsia="宋体" w:cs="宋体"/>
                <w:bCs/>
                <w:color w:val="auto"/>
                <w:sz w:val="22"/>
                <w:szCs w:val="22"/>
                <w:highlight w:val="none"/>
                <w:lang w:bidi="ar"/>
              </w:rPr>
              <w:t>1</w:t>
            </w:r>
          </w:p>
        </w:tc>
        <w:tc>
          <w:tcPr>
            <w:tcW w:w="1250" w:type="dxa"/>
            <w:noWrap w:val="0"/>
            <w:vAlign w:val="center"/>
          </w:tcPr>
          <w:p w14:paraId="56024E83">
            <w:pPr>
              <w:overflowPunct w:val="0"/>
              <w:spacing w:line="480" w:lineRule="exact"/>
              <w:jc w:val="center"/>
              <w:rPr>
                <w:rFonts w:hint="eastAsia" w:ascii="宋体" w:hAnsi="宋体" w:eastAsia="宋体" w:cs="宋体"/>
                <w:bCs/>
                <w:color w:val="auto"/>
                <w:sz w:val="22"/>
                <w:szCs w:val="22"/>
                <w:highlight w:val="none"/>
                <w:lang w:val="en-US" w:eastAsia="zh-CN" w:bidi="ar"/>
              </w:rPr>
            </w:pPr>
            <w:r>
              <w:rPr>
                <w:rFonts w:hint="eastAsia"/>
                <w:color w:val="auto"/>
                <w:sz w:val="22"/>
                <w:highlight w:val="none"/>
                <w:lang w:val="en-US" w:eastAsia="zh-CN"/>
              </w:rPr>
              <w:t>套</w:t>
            </w:r>
          </w:p>
        </w:tc>
      </w:tr>
      <w:tr w14:paraId="3A939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16" w:type="dxa"/>
            <w:noWrap w:val="0"/>
            <w:vAlign w:val="center"/>
          </w:tcPr>
          <w:p w14:paraId="1857A8C3">
            <w:pPr>
              <w:overflowPunct w:val="0"/>
              <w:spacing w:line="480" w:lineRule="exact"/>
              <w:jc w:val="center"/>
              <w:rPr>
                <w:rFonts w:hint="eastAsia" w:ascii="宋体" w:hAnsi="宋体" w:eastAsia="宋体" w:cs="宋体"/>
                <w:bCs/>
                <w:color w:val="auto"/>
                <w:sz w:val="22"/>
                <w:szCs w:val="22"/>
                <w:highlight w:val="none"/>
                <w:lang w:val="en-US" w:eastAsia="zh-CN" w:bidi="ar"/>
              </w:rPr>
            </w:pPr>
            <w:r>
              <w:rPr>
                <w:rFonts w:hint="eastAsia" w:ascii="宋体" w:hAnsi="宋体" w:eastAsia="宋体" w:cs="宋体"/>
                <w:bCs/>
                <w:color w:val="auto"/>
                <w:sz w:val="22"/>
                <w:szCs w:val="22"/>
                <w:highlight w:val="none"/>
                <w:lang w:val="en-US" w:eastAsia="zh-CN" w:bidi="ar"/>
              </w:rPr>
              <w:t>2</w:t>
            </w:r>
          </w:p>
        </w:tc>
        <w:tc>
          <w:tcPr>
            <w:tcW w:w="2323" w:type="dxa"/>
            <w:noWrap w:val="0"/>
            <w:vAlign w:val="center"/>
          </w:tcPr>
          <w:p w14:paraId="43F84AD7">
            <w:pPr>
              <w:keepNext w:val="0"/>
              <w:keepLines w:val="0"/>
              <w:widowControl/>
              <w:suppressLineNumbers w:val="0"/>
              <w:jc w:val="center"/>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轨道</w:t>
            </w:r>
          </w:p>
        </w:tc>
        <w:tc>
          <w:tcPr>
            <w:tcW w:w="4644" w:type="dxa"/>
            <w:noWrap w:val="0"/>
            <w:vAlign w:val="center"/>
          </w:tcPr>
          <w:p w14:paraId="4D785901">
            <w:pPr>
              <w:overflowPunct w:val="0"/>
              <w:spacing w:line="48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长度不小于80CM</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含配件</w:t>
            </w:r>
          </w:p>
        </w:tc>
        <w:tc>
          <w:tcPr>
            <w:tcW w:w="804" w:type="dxa"/>
            <w:noWrap w:val="0"/>
            <w:vAlign w:val="center"/>
          </w:tcPr>
          <w:p w14:paraId="1CE442DA">
            <w:pPr>
              <w:overflowPunct w:val="0"/>
              <w:spacing w:line="48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1</w:t>
            </w:r>
          </w:p>
        </w:tc>
        <w:tc>
          <w:tcPr>
            <w:tcW w:w="1250" w:type="dxa"/>
            <w:noWrap w:val="0"/>
            <w:vAlign w:val="center"/>
          </w:tcPr>
          <w:p w14:paraId="37C21918">
            <w:pPr>
              <w:overflowPunct w:val="0"/>
              <w:spacing w:line="48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根</w:t>
            </w:r>
          </w:p>
        </w:tc>
      </w:tr>
      <w:tr w14:paraId="3002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16" w:type="dxa"/>
            <w:noWrap w:val="0"/>
            <w:vAlign w:val="center"/>
          </w:tcPr>
          <w:p w14:paraId="6A28B41A">
            <w:pPr>
              <w:overflowPunct w:val="0"/>
              <w:spacing w:line="480" w:lineRule="exact"/>
              <w:jc w:val="center"/>
              <w:rPr>
                <w:rFonts w:hint="default" w:ascii="宋体" w:hAnsi="宋体" w:eastAsia="宋体" w:cs="宋体"/>
                <w:bCs/>
                <w:color w:val="auto"/>
                <w:sz w:val="22"/>
                <w:szCs w:val="22"/>
                <w:highlight w:val="none"/>
                <w:lang w:val="en-US" w:eastAsia="zh-CN" w:bidi="ar"/>
              </w:rPr>
            </w:pPr>
            <w:r>
              <w:rPr>
                <w:rFonts w:hint="eastAsia" w:ascii="宋体" w:hAnsi="宋体" w:eastAsia="宋体" w:cs="宋体"/>
                <w:bCs/>
                <w:color w:val="auto"/>
                <w:sz w:val="22"/>
                <w:szCs w:val="22"/>
                <w:highlight w:val="none"/>
                <w:lang w:val="en-US" w:eastAsia="zh-CN" w:bidi="ar"/>
              </w:rPr>
              <w:t>3</w:t>
            </w:r>
          </w:p>
        </w:tc>
        <w:tc>
          <w:tcPr>
            <w:tcW w:w="2323" w:type="dxa"/>
            <w:noWrap w:val="0"/>
            <w:vAlign w:val="center"/>
          </w:tcPr>
          <w:p w14:paraId="42409331">
            <w:pPr>
              <w:keepNext w:val="0"/>
              <w:keepLines w:val="0"/>
              <w:widowControl/>
              <w:suppressLineNumbers w:val="0"/>
              <w:jc w:val="center"/>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i w:val="0"/>
                <w:iCs w:val="0"/>
                <w:color w:val="000000"/>
                <w:kern w:val="0"/>
                <w:sz w:val="22"/>
                <w:szCs w:val="22"/>
                <w:u w:val="none"/>
                <w:lang w:val="en-US" w:eastAsia="zh-CN" w:bidi="ar"/>
              </w:rPr>
              <w:t>卷帘</w:t>
            </w:r>
          </w:p>
        </w:tc>
        <w:tc>
          <w:tcPr>
            <w:tcW w:w="4644" w:type="dxa"/>
            <w:noWrap w:val="0"/>
            <w:vAlign w:val="center"/>
          </w:tcPr>
          <w:p w14:paraId="6EE37E3D">
            <w:pPr>
              <w:overflowPunct w:val="0"/>
              <w:spacing w:line="480" w:lineRule="exact"/>
              <w:jc w:val="center"/>
              <w:rPr>
                <w:rFonts w:hint="eastAsia" w:ascii="宋体" w:hAnsi="宋体" w:eastAsia="宋体" w:cs="宋体"/>
                <w:color w:val="auto"/>
                <w:sz w:val="22"/>
                <w:szCs w:val="22"/>
                <w:highlight w:val="none"/>
              </w:rPr>
            </w:pPr>
            <w:r>
              <w:rPr>
                <w:rFonts w:hint="eastAsia" w:ascii="宋体" w:hAnsi="宋体" w:cs="宋体"/>
                <w:color w:val="auto"/>
                <w:sz w:val="22"/>
                <w:szCs w:val="22"/>
                <w:highlight w:val="none"/>
              </w:rPr>
              <w:t>长</w:t>
            </w:r>
            <w:r>
              <w:rPr>
                <w:rFonts w:hint="eastAsia" w:ascii="宋体" w:hAnsi="宋体" w:eastAsia="宋体" w:cs="宋体"/>
                <w:color w:val="auto"/>
                <w:sz w:val="22"/>
                <w:szCs w:val="22"/>
                <w:highlight w:val="none"/>
              </w:rPr>
              <w:t>不小于</w:t>
            </w:r>
            <w:r>
              <w:rPr>
                <w:rFonts w:hint="eastAsia" w:ascii="宋体" w:hAnsi="宋体" w:cs="宋体"/>
                <w:color w:val="auto"/>
                <w:sz w:val="22"/>
                <w:szCs w:val="22"/>
                <w:highlight w:val="none"/>
                <w:lang w:val="en-US" w:eastAsia="zh-CN"/>
              </w:rPr>
              <w:t>10</w:t>
            </w:r>
            <w:r>
              <w:rPr>
                <w:rFonts w:hint="eastAsia" w:ascii="宋体" w:hAnsi="宋体" w:cs="宋体"/>
                <w:color w:val="auto"/>
                <w:sz w:val="22"/>
                <w:szCs w:val="22"/>
                <w:highlight w:val="none"/>
              </w:rPr>
              <w:t>0cm*宽</w:t>
            </w:r>
            <w:r>
              <w:rPr>
                <w:rFonts w:hint="eastAsia" w:ascii="宋体" w:hAnsi="宋体" w:eastAsia="宋体" w:cs="宋体"/>
                <w:color w:val="auto"/>
                <w:sz w:val="22"/>
                <w:szCs w:val="22"/>
                <w:highlight w:val="none"/>
              </w:rPr>
              <w:t>不小于</w:t>
            </w:r>
            <w:r>
              <w:rPr>
                <w:rFonts w:hint="eastAsia" w:ascii="宋体" w:hAnsi="宋体" w:cs="宋体"/>
                <w:color w:val="auto"/>
                <w:sz w:val="22"/>
                <w:szCs w:val="22"/>
                <w:highlight w:val="none"/>
                <w:lang w:val="en-US" w:eastAsia="zh-CN"/>
              </w:rPr>
              <w:t>8</w:t>
            </w:r>
            <w:r>
              <w:rPr>
                <w:rFonts w:hint="eastAsia" w:ascii="宋体" w:hAnsi="宋体" w:cs="宋体"/>
                <w:color w:val="auto"/>
                <w:sz w:val="22"/>
                <w:szCs w:val="22"/>
                <w:highlight w:val="none"/>
              </w:rPr>
              <w:t>0cm，</w:t>
            </w:r>
            <w:r>
              <w:rPr>
                <w:rFonts w:hint="eastAsia" w:ascii="宋体" w:hAnsi="宋体" w:cs="宋体"/>
                <w:color w:val="auto"/>
                <w:kern w:val="0"/>
                <w:sz w:val="22"/>
                <w:szCs w:val="22"/>
                <w:highlight w:val="none"/>
                <w:lang w:bidi="ar"/>
              </w:rPr>
              <w:t>含配件</w:t>
            </w:r>
          </w:p>
        </w:tc>
        <w:tc>
          <w:tcPr>
            <w:tcW w:w="804" w:type="dxa"/>
            <w:noWrap w:val="0"/>
            <w:vAlign w:val="center"/>
          </w:tcPr>
          <w:p w14:paraId="16CE6ED0">
            <w:pPr>
              <w:overflowPunct w:val="0"/>
              <w:spacing w:line="480" w:lineRule="exact"/>
              <w:jc w:val="center"/>
              <w:rPr>
                <w:rFonts w:hint="eastAsia" w:ascii="宋体" w:hAnsi="宋体" w:eastAsia="宋体" w:cs="宋体"/>
                <w:bCs/>
                <w:color w:val="auto"/>
                <w:kern w:val="2"/>
                <w:sz w:val="22"/>
                <w:szCs w:val="22"/>
                <w:highlight w:val="none"/>
                <w:lang w:val="en-US" w:eastAsia="zh-CN" w:bidi="ar"/>
              </w:rPr>
            </w:pPr>
            <w:r>
              <w:rPr>
                <w:rFonts w:hint="eastAsia" w:ascii="宋体" w:hAnsi="宋体" w:eastAsia="宋体" w:cs="宋体"/>
                <w:bCs/>
                <w:color w:val="auto"/>
                <w:sz w:val="22"/>
                <w:szCs w:val="22"/>
                <w:highlight w:val="none"/>
                <w:lang w:bidi="ar"/>
              </w:rPr>
              <w:t>1</w:t>
            </w:r>
          </w:p>
        </w:tc>
        <w:tc>
          <w:tcPr>
            <w:tcW w:w="1250" w:type="dxa"/>
            <w:noWrap w:val="0"/>
            <w:vAlign w:val="center"/>
          </w:tcPr>
          <w:p w14:paraId="5DED3108">
            <w:pPr>
              <w:overflowPunct w:val="0"/>
              <w:spacing w:line="480" w:lineRule="exact"/>
              <w:jc w:val="center"/>
              <w:rPr>
                <w:rFonts w:hint="eastAsia" w:ascii="宋体" w:hAnsi="宋体" w:eastAsia="宋体" w:cs="宋体"/>
                <w:bCs/>
                <w:color w:val="auto"/>
                <w:kern w:val="2"/>
                <w:sz w:val="22"/>
                <w:szCs w:val="22"/>
                <w:highlight w:val="none"/>
                <w:lang w:val="en-US" w:eastAsia="zh-CN" w:bidi="ar"/>
              </w:rPr>
            </w:pPr>
            <w:r>
              <w:rPr>
                <w:rFonts w:hint="eastAsia"/>
                <w:color w:val="auto"/>
                <w:sz w:val="22"/>
                <w:highlight w:val="none"/>
                <w:lang w:val="en-US" w:eastAsia="zh-CN"/>
              </w:rPr>
              <w:t>套</w:t>
            </w:r>
          </w:p>
        </w:tc>
      </w:tr>
    </w:tbl>
    <w:p w14:paraId="519A8F97">
      <w:pPr>
        <w:keepNext w:val="0"/>
        <w:keepLines w:val="0"/>
        <w:pageBreakBefore w:val="0"/>
        <w:widowControl/>
        <w:kinsoku/>
        <w:wordWrap/>
        <w:overflowPunct/>
        <w:topLinePunct w:val="0"/>
        <w:autoSpaceDE/>
        <w:autoSpaceDN/>
        <w:bidi w:val="0"/>
        <w:spacing w:line="440" w:lineRule="exact"/>
        <w:jc w:val="left"/>
        <w:textAlignment w:val="auto"/>
        <w:rPr>
          <w:rFonts w:hint="eastAsia" w:ascii="宋体" w:hAnsi="宋体" w:eastAsia="宋体" w:cs="宋体"/>
          <w:b/>
          <w:bCs/>
          <w:color w:val="auto"/>
          <w:sz w:val="22"/>
          <w:szCs w:val="22"/>
          <w:highlight w:val="none"/>
          <w:u w:val="single"/>
        </w:rPr>
      </w:pPr>
      <w:r>
        <w:rPr>
          <w:rFonts w:hint="eastAsia" w:ascii="宋体" w:hAnsi="宋体" w:eastAsia="宋体" w:cs="宋体"/>
          <w:b/>
          <w:bCs/>
          <w:color w:val="auto"/>
          <w:sz w:val="22"/>
          <w:szCs w:val="22"/>
          <w:highlight w:val="none"/>
          <w:u w:val="single"/>
        </w:rPr>
        <w:t>▲未提供样品或提供样品种类数量不全</w:t>
      </w:r>
      <w:r>
        <w:rPr>
          <w:rFonts w:hint="eastAsia" w:ascii="宋体" w:hAnsi="宋体" w:cs="宋体"/>
          <w:b/>
          <w:bCs/>
          <w:color w:val="auto"/>
          <w:sz w:val="22"/>
          <w:szCs w:val="22"/>
          <w:highlight w:val="none"/>
          <w:u w:val="single"/>
          <w:lang w:val="en-US" w:eastAsia="zh-CN"/>
        </w:rPr>
        <w:t>或样品明显不满足采购需求</w:t>
      </w:r>
      <w:r>
        <w:rPr>
          <w:rFonts w:hint="eastAsia" w:ascii="宋体" w:hAnsi="宋体" w:eastAsia="宋体" w:cs="宋体"/>
          <w:b/>
          <w:bCs/>
          <w:color w:val="auto"/>
          <w:sz w:val="22"/>
          <w:szCs w:val="22"/>
          <w:highlight w:val="none"/>
          <w:u w:val="single"/>
        </w:rPr>
        <w:t>的，</w:t>
      </w:r>
      <w:r>
        <w:rPr>
          <w:rFonts w:hint="eastAsia" w:ascii="宋体" w:hAnsi="宋体" w:eastAsia="宋体" w:cs="宋体"/>
          <w:b/>
          <w:bCs/>
          <w:color w:val="auto"/>
          <w:sz w:val="22"/>
          <w:szCs w:val="22"/>
          <w:highlight w:val="none"/>
          <w:u w:val="single"/>
          <w:lang w:val="en-US" w:eastAsia="zh-CN"/>
        </w:rPr>
        <w:t>作</w:t>
      </w:r>
      <w:r>
        <w:rPr>
          <w:rFonts w:hint="eastAsia" w:ascii="宋体" w:hAnsi="宋体" w:eastAsia="宋体" w:cs="宋体"/>
          <w:b/>
          <w:bCs/>
          <w:color w:val="auto"/>
          <w:sz w:val="22"/>
          <w:szCs w:val="22"/>
          <w:highlight w:val="none"/>
          <w:u w:val="single"/>
        </w:rPr>
        <w:t>无效标</w:t>
      </w:r>
      <w:r>
        <w:rPr>
          <w:rFonts w:hint="eastAsia" w:ascii="宋体" w:hAnsi="宋体" w:eastAsia="宋体" w:cs="宋体"/>
          <w:b/>
          <w:bCs/>
          <w:color w:val="auto"/>
          <w:sz w:val="22"/>
          <w:szCs w:val="22"/>
          <w:highlight w:val="none"/>
          <w:u w:val="single"/>
          <w:lang w:val="en-US" w:eastAsia="zh-CN"/>
        </w:rPr>
        <w:t>处理</w:t>
      </w:r>
      <w:r>
        <w:rPr>
          <w:rFonts w:hint="eastAsia" w:ascii="宋体" w:hAnsi="宋体" w:eastAsia="宋体" w:cs="宋体"/>
          <w:b/>
          <w:bCs/>
          <w:color w:val="auto"/>
          <w:sz w:val="22"/>
          <w:szCs w:val="22"/>
          <w:highlight w:val="none"/>
          <w:u w:val="single"/>
        </w:rPr>
        <w:t>。</w:t>
      </w:r>
    </w:p>
    <w:p w14:paraId="106A068D">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样品的递交方式：</w:t>
      </w:r>
      <w:r>
        <w:rPr>
          <w:rFonts w:hint="eastAsia" w:ascii="宋体" w:hAnsi="宋体" w:eastAsia="宋体" w:cs="宋体"/>
          <w:color w:val="auto"/>
          <w:sz w:val="22"/>
          <w:szCs w:val="22"/>
          <w:highlight w:val="none"/>
          <w:lang w:eastAsia="zh-CN"/>
        </w:rPr>
        <w:t>投标人</w:t>
      </w:r>
      <w:r>
        <w:rPr>
          <w:rFonts w:hint="eastAsia" w:ascii="宋体" w:hAnsi="宋体" w:eastAsia="宋体" w:cs="宋体"/>
          <w:color w:val="auto"/>
          <w:sz w:val="22"/>
          <w:szCs w:val="22"/>
          <w:highlight w:val="none"/>
        </w:rPr>
        <w:t>自行运送到指定的地点。</w:t>
      </w:r>
    </w:p>
    <w:p w14:paraId="39A74716">
      <w:pPr>
        <w:keepNext w:val="0"/>
        <w:keepLines w:val="0"/>
        <w:pageBreakBefore w:val="0"/>
        <w:kinsoku/>
        <w:wordWrap/>
        <w:overflowPunct/>
        <w:topLinePunct w:val="0"/>
        <w:autoSpaceDE/>
        <w:autoSpaceDN/>
        <w:bidi w:val="0"/>
        <w:adjustRightInd w:val="0"/>
        <w:snapToGrid w:val="0"/>
        <w:spacing w:line="440" w:lineRule="exact"/>
        <w:ind w:firstLine="550" w:firstLineChars="25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递交时间：</w:t>
      </w:r>
      <w:r>
        <w:rPr>
          <w:rFonts w:hint="eastAsia" w:ascii="宋体" w:hAnsi="宋体" w:eastAsia="宋体" w:cs="宋体"/>
          <w:color w:val="auto"/>
          <w:sz w:val="22"/>
          <w:szCs w:val="22"/>
          <w:highlight w:val="none"/>
          <w:lang w:eastAsia="zh-CN"/>
        </w:rPr>
        <w:t>投标响应文件</w:t>
      </w:r>
      <w:r>
        <w:rPr>
          <w:rFonts w:hint="eastAsia" w:ascii="宋体" w:hAnsi="宋体" w:eastAsia="宋体" w:cs="宋体"/>
          <w:color w:val="auto"/>
          <w:sz w:val="22"/>
          <w:szCs w:val="22"/>
          <w:highlight w:val="none"/>
        </w:rPr>
        <w:t>递交截止时间前</w:t>
      </w:r>
      <w:r>
        <w:rPr>
          <w:rFonts w:hint="eastAsia" w:ascii="宋体" w:hAnsi="宋体" w:cs="宋体"/>
          <w:color w:val="auto"/>
          <w:sz w:val="22"/>
          <w:szCs w:val="22"/>
          <w:highlight w:val="none"/>
          <w:lang w:eastAsia="zh-CN"/>
        </w:rPr>
        <w:t>，</w:t>
      </w:r>
      <w:r>
        <w:rPr>
          <w:rFonts w:hint="eastAsia" w:ascii="宋体" w:hAnsi="宋体" w:cs="宋体"/>
          <w:color w:val="auto"/>
          <w:sz w:val="22"/>
          <w:highlight w:val="none"/>
        </w:rPr>
        <w:t>提交投标文件截止时间之后</w:t>
      </w:r>
      <w:r>
        <w:rPr>
          <w:rFonts w:hint="eastAsia" w:ascii="宋体" w:hAnsi="宋体" w:cs="宋体"/>
          <w:bCs/>
          <w:color w:val="auto"/>
          <w:kern w:val="0"/>
          <w:sz w:val="22"/>
          <w:highlight w:val="none"/>
        </w:rPr>
        <w:t>送达将予以拒收</w:t>
      </w:r>
      <w:r>
        <w:rPr>
          <w:rFonts w:hint="eastAsia" w:ascii="宋体" w:hAnsi="宋体" w:eastAsia="宋体" w:cs="宋体"/>
          <w:color w:val="auto"/>
          <w:sz w:val="22"/>
          <w:szCs w:val="22"/>
          <w:highlight w:val="none"/>
        </w:rPr>
        <w:t>。</w:t>
      </w:r>
    </w:p>
    <w:p w14:paraId="77ED9679">
      <w:pPr>
        <w:keepNext w:val="0"/>
        <w:keepLines w:val="0"/>
        <w:pageBreakBefore w:val="0"/>
        <w:kinsoku/>
        <w:wordWrap/>
        <w:overflowPunct/>
        <w:topLinePunct w:val="0"/>
        <w:autoSpaceDE/>
        <w:autoSpaceDN/>
        <w:bidi w:val="0"/>
        <w:adjustRightInd w:val="0"/>
        <w:snapToGrid w:val="0"/>
        <w:spacing w:line="440" w:lineRule="exact"/>
        <w:ind w:firstLine="550" w:firstLineChars="25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递交地点：</w:t>
      </w:r>
      <w:r>
        <w:rPr>
          <w:rFonts w:hint="eastAsia" w:ascii="宋体" w:hAnsi="宋体" w:eastAsia="宋体" w:cs="宋体"/>
          <w:color w:val="auto"/>
          <w:sz w:val="22"/>
          <w:szCs w:val="22"/>
          <w:highlight w:val="none"/>
          <w:lang w:val="en-US" w:eastAsia="zh-CN"/>
        </w:rPr>
        <w:t>见公告地址</w:t>
      </w:r>
      <w:r>
        <w:rPr>
          <w:rFonts w:hint="eastAsia" w:ascii="宋体" w:hAnsi="宋体" w:eastAsia="宋体" w:cs="宋体"/>
          <w:color w:val="auto"/>
          <w:sz w:val="22"/>
          <w:szCs w:val="22"/>
          <w:highlight w:val="none"/>
        </w:rPr>
        <w:t>。</w:t>
      </w:r>
    </w:p>
    <w:p w14:paraId="4ED64532">
      <w:pPr>
        <w:adjustRightInd w:val="0"/>
        <w:snapToGrid w:val="0"/>
        <w:spacing w:line="44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w:t>
      </w:r>
      <w:r>
        <w:rPr>
          <w:rFonts w:hint="eastAsia" w:ascii="宋体" w:hAnsi="宋体" w:cs="宋体"/>
          <w:color w:val="auto"/>
          <w:sz w:val="22"/>
          <w:szCs w:val="22"/>
          <w:highlight w:val="none"/>
          <w:lang w:val="en-US" w:eastAsia="zh-CN"/>
        </w:rPr>
        <w:t>1</w:t>
      </w:r>
      <w:r>
        <w:rPr>
          <w:rFonts w:hint="eastAsia" w:ascii="宋体" w:hAnsi="宋体" w:cs="宋体"/>
          <w:color w:val="auto"/>
          <w:sz w:val="22"/>
          <w:szCs w:val="22"/>
          <w:highlight w:val="none"/>
        </w:rPr>
        <w:t>）未</w:t>
      </w:r>
      <w:r>
        <w:rPr>
          <w:rFonts w:hint="eastAsia" w:ascii="宋体" w:hAnsi="宋体" w:cs="宋体"/>
          <w:color w:val="auto"/>
          <w:sz w:val="22"/>
          <w:szCs w:val="22"/>
          <w:highlight w:val="none"/>
          <w:lang w:val="en-US" w:eastAsia="zh-CN"/>
        </w:rPr>
        <w:t>中标投标人</w:t>
      </w:r>
      <w:r>
        <w:rPr>
          <w:rFonts w:hint="eastAsia" w:ascii="宋体" w:hAnsi="宋体" w:cs="宋体"/>
          <w:color w:val="auto"/>
          <w:sz w:val="22"/>
          <w:szCs w:val="22"/>
          <w:highlight w:val="none"/>
        </w:rPr>
        <w:t>样品的退还处理方式：由未</w:t>
      </w:r>
      <w:r>
        <w:rPr>
          <w:rFonts w:hint="eastAsia" w:ascii="宋体" w:hAnsi="宋体" w:cs="宋体"/>
          <w:color w:val="auto"/>
          <w:sz w:val="22"/>
          <w:szCs w:val="22"/>
          <w:highlight w:val="none"/>
          <w:lang w:val="en-US" w:eastAsia="zh-CN"/>
        </w:rPr>
        <w:t>中标</w:t>
      </w:r>
      <w:r>
        <w:rPr>
          <w:rFonts w:hint="eastAsia" w:ascii="宋体" w:hAnsi="宋体" w:cs="宋体"/>
          <w:color w:val="auto"/>
          <w:sz w:val="22"/>
          <w:szCs w:val="22"/>
          <w:highlight w:val="none"/>
          <w:lang w:eastAsia="zh-CN"/>
        </w:rPr>
        <w:t>投标人</w:t>
      </w:r>
      <w:r>
        <w:rPr>
          <w:rFonts w:hint="eastAsia" w:ascii="宋体" w:hAnsi="宋体" w:cs="宋体"/>
          <w:color w:val="auto"/>
          <w:sz w:val="22"/>
          <w:szCs w:val="22"/>
          <w:highlight w:val="none"/>
        </w:rPr>
        <w:t>在开标结束后当天内自行撤回，采购人和采购代理机构不负责样品保管。</w:t>
      </w:r>
    </w:p>
    <w:p w14:paraId="44D622C3">
      <w:pPr>
        <w:adjustRightInd w:val="0"/>
        <w:snapToGrid w:val="0"/>
        <w:spacing w:line="440" w:lineRule="exac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w:t>
      </w:r>
      <w:r>
        <w:rPr>
          <w:rFonts w:hint="eastAsia" w:ascii="宋体" w:hAnsi="宋体" w:cs="宋体"/>
          <w:color w:val="auto"/>
          <w:kern w:val="0"/>
          <w:sz w:val="22"/>
          <w:szCs w:val="22"/>
          <w:highlight w:val="none"/>
          <w:lang w:val="en-US" w:eastAsia="zh-CN"/>
        </w:rPr>
        <w:t>2</w:t>
      </w:r>
      <w:r>
        <w:rPr>
          <w:rFonts w:hint="eastAsia" w:ascii="宋体" w:hAnsi="宋体" w:cs="宋体"/>
          <w:color w:val="auto"/>
          <w:kern w:val="0"/>
          <w:sz w:val="22"/>
          <w:szCs w:val="22"/>
          <w:highlight w:val="none"/>
        </w:rPr>
        <w:t>）</w:t>
      </w:r>
      <w:r>
        <w:rPr>
          <w:rFonts w:hint="eastAsia" w:ascii="宋体" w:hAnsi="宋体" w:cs="宋体"/>
          <w:color w:val="auto"/>
          <w:kern w:val="0"/>
          <w:sz w:val="22"/>
          <w:szCs w:val="22"/>
          <w:highlight w:val="none"/>
          <w:lang w:val="en-US" w:eastAsia="zh-CN"/>
        </w:rPr>
        <w:t>中标人</w:t>
      </w:r>
      <w:r>
        <w:rPr>
          <w:rFonts w:hint="eastAsia" w:ascii="宋体" w:hAnsi="宋体" w:cs="宋体"/>
          <w:color w:val="auto"/>
          <w:kern w:val="0"/>
          <w:sz w:val="22"/>
          <w:szCs w:val="22"/>
          <w:highlight w:val="none"/>
        </w:rPr>
        <w:t>的样品应当</w:t>
      </w:r>
      <w:r>
        <w:rPr>
          <w:rFonts w:hint="eastAsia" w:ascii="宋体" w:hAnsi="宋体" w:cs="宋体"/>
          <w:color w:val="auto"/>
          <w:kern w:val="0"/>
          <w:sz w:val="22"/>
          <w:szCs w:val="22"/>
          <w:highlight w:val="none"/>
          <w:lang w:val="en-US" w:eastAsia="zh-CN"/>
        </w:rPr>
        <w:t>做好标记，</w:t>
      </w:r>
      <w:r>
        <w:rPr>
          <w:rFonts w:hint="eastAsia" w:ascii="宋体" w:hAnsi="宋体" w:cs="宋体"/>
          <w:color w:val="auto"/>
          <w:kern w:val="0"/>
          <w:sz w:val="22"/>
          <w:szCs w:val="22"/>
          <w:highlight w:val="none"/>
        </w:rPr>
        <w:t>由采购人进行保管、封存，作为履约验收的参考。</w:t>
      </w:r>
    </w:p>
    <w:p w14:paraId="7BA51388">
      <w:pPr>
        <w:adjustRightInd w:val="0"/>
        <w:snapToGrid w:val="0"/>
        <w:spacing w:line="440" w:lineRule="exact"/>
        <w:rPr>
          <w:rFonts w:hint="eastAsia" w:ascii="宋体" w:hAnsi="宋体" w:cs="宋体"/>
          <w:color w:val="auto"/>
          <w:kern w:val="0"/>
          <w:sz w:val="22"/>
          <w:szCs w:val="22"/>
          <w:highlight w:val="none"/>
        </w:rPr>
      </w:pPr>
    </w:p>
    <w:p w14:paraId="497882B7">
      <w:pPr>
        <w:widowControl/>
        <w:numPr>
          <w:ilvl w:val="0"/>
          <w:numId w:val="1"/>
        </w:numPr>
        <w:autoSpaceDE w:val="0"/>
        <w:autoSpaceDN w:val="0"/>
        <w:adjustRightInd w:val="0"/>
        <w:spacing w:line="360" w:lineRule="auto"/>
        <w:jc w:val="left"/>
        <w:textAlignment w:val="bottom"/>
        <w:rPr>
          <w:rFonts w:hint="eastAsia" w:ascii="宋体" w:hAnsi="Times New Roman" w:eastAsia="宋体" w:cs="宋体"/>
          <w:b/>
          <w:bCs/>
          <w:sz w:val="28"/>
          <w:szCs w:val="28"/>
          <w:lang w:val="en-US" w:eastAsia="zh-CN"/>
        </w:rPr>
      </w:pPr>
      <w:r>
        <w:rPr>
          <w:rFonts w:hint="eastAsia" w:ascii="宋体" w:hAnsi="Times New Roman" w:eastAsia="宋体" w:cs="宋体"/>
          <w:b/>
          <w:bCs/>
          <w:sz w:val="28"/>
          <w:szCs w:val="28"/>
          <w:lang w:val="en-US" w:eastAsia="zh-CN"/>
        </w:rPr>
        <w:t>商务要求（技术参数里另有注明的以技术参数为准）</w:t>
      </w:r>
      <w:bookmarkEnd w:id="0"/>
    </w:p>
    <w:tbl>
      <w:tblPr>
        <w:tblStyle w:val="7"/>
        <w:tblW w:w="9728" w:type="dxa"/>
        <w:tblInd w:w="-2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5"/>
        <w:gridCol w:w="8213"/>
      </w:tblGrid>
      <w:tr w14:paraId="04C7EE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51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092BDAB">
            <w:pPr>
              <w:spacing w:line="36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履约保证金</w:t>
            </w:r>
          </w:p>
        </w:tc>
        <w:tc>
          <w:tcPr>
            <w:tcW w:w="821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C75F598">
            <w:pPr>
              <w:widowControl/>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中标人</w:t>
            </w:r>
            <w:r>
              <w:rPr>
                <w:rFonts w:hint="eastAsia" w:ascii="宋体" w:hAnsi="宋体" w:eastAsia="宋体" w:cs="宋体"/>
                <w:color w:val="auto"/>
                <w:sz w:val="22"/>
                <w:szCs w:val="22"/>
                <w:highlight w:val="none"/>
              </w:rPr>
              <w:t>在签订合同后7个日历天内向采购人提交合同总价1%的履约保证金（以银行转账/转帐支票/银行汇票/银行、保险公司出具的保函形式）；</w:t>
            </w:r>
          </w:p>
          <w:p w14:paraId="34D63E35">
            <w:pPr>
              <w:widowControl/>
              <w:spacing w:line="360" w:lineRule="exact"/>
              <w:jc w:val="left"/>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bidi="ar"/>
              </w:rPr>
              <w:t>验收合格后，中标人向采购人开具履约保证金收据后7个工作日内，采购人无息退还履约保证金。</w:t>
            </w:r>
          </w:p>
        </w:tc>
      </w:tr>
      <w:tr w14:paraId="7862E2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51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2E9B6FC">
            <w:pPr>
              <w:spacing w:line="36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支付方式</w:t>
            </w:r>
          </w:p>
        </w:tc>
        <w:tc>
          <w:tcPr>
            <w:tcW w:w="821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85FE6C3">
            <w:pPr>
              <w:widowControl/>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采购人在合同生效以及具备实施条件后7个工作日内完成</w:t>
            </w: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rPr>
              <w:t>0%合同价预付款支付，所有货物交付并验收合格后，采购人向</w:t>
            </w:r>
            <w:r>
              <w:rPr>
                <w:rFonts w:hint="eastAsia" w:ascii="宋体" w:hAnsi="宋体" w:eastAsia="宋体" w:cs="宋体"/>
                <w:color w:val="auto"/>
                <w:sz w:val="22"/>
                <w:szCs w:val="22"/>
                <w:highlight w:val="none"/>
                <w:lang w:eastAsia="zh-CN"/>
              </w:rPr>
              <w:t>中标人</w:t>
            </w:r>
            <w:r>
              <w:rPr>
                <w:rFonts w:hint="eastAsia" w:ascii="宋体" w:hAnsi="宋体" w:eastAsia="宋体" w:cs="宋体"/>
                <w:color w:val="auto"/>
                <w:sz w:val="22"/>
                <w:szCs w:val="22"/>
                <w:highlight w:val="none"/>
              </w:rPr>
              <w:t>支付合同余款。履约保证金在货到安装验收合格后5个工作日内无息退还。</w:t>
            </w:r>
          </w:p>
          <w:p w14:paraId="68965439">
            <w:pPr>
              <w:widowControl/>
              <w:spacing w:line="360" w:lineRule="exact"/>
              <w:jc w:val="left"/>
              <w:rPr>
                <w:rFonts w:hint="eastAsia" w:ascii="宋体" w:hAnsi="宋体" w:eastAsia="宋体" w:cs="宋体"/>
                <w:color w:val="auto"/>
                <w:sz w:val="22"/>
                <w:szCs w:val="22"/>
                <w:highlight w:val="none"/>
                <w:u w:val="single"/>
                <w:lang w:val="zh-CN"/>
              </w:rPr>
            </w:pPr>
            <w:r>
              <w:rPr>
                <w:rFonts w:hint="eastAsia" w:ascii="宋体" w:hAnsi="宋体" w:eastAsia="宋体" w:cs="宋体"/>
                <w:color w:val="auto"/>
                <w:sz w:val="22"/>
                <w:szCs w:val="22"/>
                <w:highlight w:val="none"/>
              </w:rPr>
              <w:t>采购人对于满足合同约定支付条件的，自收到发票后7个工作日内将资金支付到合同约定的</w:t>
            </w:r>
            <w:r>
              <w:rPr>
                <w:rFonts w:hint="eastAsia" w:ascii="宋体" w:hAnsi="宋体" w:eastAsia="宋体" w:cs="宋体"/>
                <w:color w:val="auto"/>
                <w:sz w:val="22"/>
                <w:szCs w:val="22"/>
                <w:highlight w:val="none"/>
                <w:lang w:eastAsia="zh-CN"/>
              </w:rPr>
              <w:t>中标人</w:t>
            </w:r>
            <w:r>
              <w:rPr>
                <w:rFonts w:hint="eastAsia" w:ascii="宋体" w:hAnsi="宋体" w:eastAsia="宋体" w:cs="宋体"/>
                <w:color w:val="auto"/>
                <w:sz w:val="22"/>
                <w:szCs w:val="22"/>
                <w:highlight w:val="none"/>
              </w:rPr>
              <w:t>账户。</w:t>
            </w:r>
          </w:p>
        </w:tc>
      </w:tr>
      <w:tr w14:paraId="5F02AB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51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7777DE6">
            <w:pPr>
              <w:spacing w:line="36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质保期</w:t>
            </w:r>
          </w:p>
        </w:tc>
        <w:tc>
          <w:tcPr>
            <w:tcW w:w="821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CDBBAE2">
            <w:pPr>
              <w:spacing w:line="44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w:t>
            </w:r>
            <w:r>
              <w:rPr>
                <w:rFonts w:hint="eastAsia" w:ascii="宋体" w:hAnsi="宋体" w:eastAsia="宋体" w:cs="宋体"/>
                <w:color w:val="auto"/>
                <w:sz w:val="22"/>
                <w:szCs w:val="22"/>
                <w:highlight w:val="none"/>
                <w:u w:val="single"/>
                <w:lang w:val="en-US" w:eastAsia="zh-CN"/>
              </w:rPr>
              <w:t>本项目所有货物应提供</w:t>
            </w:r>
            <w:r>
              <w:rPr>
                <w:rFonts w:hint="eastAsia" w:ascii="宋体" w:hAnsi="宋体" w:eastAsia="宋体" w:cs="宋体"/>
                <w:color w:val="auto"/>
                <w:sz w:val="22"/>
                <w:szCs w:val="22"/>
                <w:highlight w:val="none"/>
                <w:u w:val="single"/>
              </w:rPr>
              <w:t>自验收合格之日起项目整体质保至少</w:t>
            </w:r>
            <w:r>
              <w:rPr>
                <w:rFonts w:hint="eastAsia" w:ascii="宋体" w:hAnsi="宋体" w:cs="宋体"/>
                <w:color w:val="auto"/>
                <w:sz w:val="22"/>
                <w:szCs w:val="22"/>
                <w:highlight w:val="none"/>
                <w:u w:val="single"/>
                <w:lang w:val="en-US" w:eastAsia="zh-CN"/>
              </w:rPr>
              <w:t>7</w:t>
            </w:r>
            <w:r>
              <w:rPr>
                <w:rFonts w:hint="eastAsia" w:ascii="宋体" w:hAnsi="宋体" w:eastAsia="宋体" w:cs="宋体"/>
                <w:color w:val="auto"/>
                <w:sz w:val="22"/>
                <w:szCs w:val="22"/>
                <w:highlight w:val="none"/>
                <w:u w:val="single"/>
              </w:rPr>
              <w:t>年</w:t>
            </w:r>
            <w:r>
              <w:rPr>
                <w:rFonts w:hint="eastAsia" w:ascii="宋体" w:hAnsi="宋体" w:eastAsia="宋体" w:cs="宋体"/>
                <w:color w:val="auto"/>
                <w:sz w:val="22"/>
                <w:szCs w:val="22"/>
                <w:highlight w:val="none"/>
              </w:rPr>
              <w:t>。</w:t>
            </w:r>
          </w:p>
        </w:tc>
      </w:tr>
      <w:tr w14:paraId="405164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51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DC8DC6B">
            <w:pPr>
              <w:spacing w:line="360" w:lineRule="exact"/>
              <w:jc w:val="center"/>
              <w:rPr>
                <w:rFonts w:hint="eastAsia" w:ascii="宋体" w:hAnsi="宋体" w:eastAsia="宋体" w:cs="宋体"/>
                <w:b/>
                <w:bCs/>
                <w:color w:val="auto"/>
                <w:sz w:val="22"/>
                <w:szCs w:val="22"/>
                <w:highlight w:val="yellow"/>
              </w:rPr>
            </w:pPr>
            <w:r>
              <w:rPr>
                <w:rFonts w:hint="eastAsia" w:ascii="宋体" w:hAnsi="宋体" w:eastAsia="宋体" w:cs="宋体"/>
                <w:b/>
                <w:bCs/>
                <w:color w:val="auto"/>
                <w:sz w:val="22"/>
                <w:szCs w:val="22"/>
                <w:highlight w:val="yellow"/>
              </w:rPr>
              <w:t>供货期</w:t>
            </w:r>
          </w:p>
        </w:tc>
        <w:tc>
          <w:tcPr>
            <w:tcW w:w="821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00A4759">
            <w:pPr>
              <w:spacing w:line="440" w:lineRule="exact"/>
              <w:jc w:val="left"/>
              <w:rPr>
                <w:rFonts w:hint="eastAsia" w:ascii="宋体" w:hAnsi="宋体" w:eastAsia="宋体" w:cs="宋体"/>
                <w:color w:val="auto"/>
                <w:sz w:val="22"/>
                <w:szCs w:val="22"/>
                <w:highlight w:val="yellow"/>
                <w:u w:val="single"/>
              </w:rPr>
            </w:pPr>
            <w:r>
              <w:rPr>
                <w:rFonts w:hint="eastAsia" w:ascii="宋体" w:hAnsi="宋体" w:eastAsia="宋体" w:cs="宋体"/>
                <w:color w:val="auto"/>
                <w:sz w:val="22"/>
                <w:szCs w:val="22"/>
                <w:highlight w:val="yellow"/>
                <w:u w:val="single"/>
                <w:lang w:eastAsia="zh-CN"/>
              </w:rPr>
              <w:t>2、4#实训楼，合同签订后30日内交货并完成安装，产教融合区域10月31日前交货并完成安装。</w:t>
            </w:r>
          </w:p>
        </w:tc>
      </w:tr>
      <w:tr w14:paraId="2D8D54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51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DB20043">
            <w:pPr>
              <w:spacing w:line="36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交付地点</w:t>
            </w:r>
          </w:p>
        </w:tc>
        <w:tc>
          <w:tcPr>
            <w:tcW w:w="821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405904D">
            <w:pPr>
              <w:pStyle w:val="2"/>
              <w:spacing w:line="360" w:lineRule="exact"/>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采购人指定</w:t>
            </w:r>
            <w:r>
              <w:rPr>
                <w:rFonts w:hint="eastAsia" w:ascii="宋体" w:hAnsi="宋体" w:eastAsia="宋体" w:cs="宋体"/>
                <w:color w:val="auto"/>
                <w:sz w:val="22"/>
                <w:szCs w:val="22"/>
                <w:highlight w:val="none"/>
                <w:lang w:val="en-US" w:eastAsia="zh-CN"/>
              </w:rPr>
              <w:t>地点；滨海校区</w:t>
            </w:r>
          </w:p>
        </w:tc>
      </w:tr>
      <w:tr w14:paraId="677B0D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51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CE8AF21">
            <w:pPr>
              <w:widowControl/>
              <w:adjustRightInd w:val="0"/>
              <w:snapToGrid w:val="0"/>
              <w:spacing w:line="40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验收标准</w:t>
            </w:r>
          </w:p>
        </w:tc>
        <w:tc>
          <w:tcPr>
            <w:tcW w:w="821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BB60E62">
            <w:pPr>
              <w:widowControl/>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1.验收标准应符合中国有关的国家、地方、行业的标准。</w:t>
            </w:r>
          </w:p>
          <w:p w14:paraId="48A9AE2F">
            <w:pPr>
              <w:widowControl/>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2.由采购人组织专家和用户代表或第三方机构，按照招标文件、合同条款和实际应用效果对项目进行验收，因投标人原因导致验收未一次性通过，后期验收产生费用需由投标人承担。</w:t>
            </w:r>
          </w:p>
          <w:p w14:paraId="0F0955C7">
            <w:pPr>
              <w:widowControl/>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3.验收时投标人应在现场，验收完毕后作出验收结果报告。</w:t>
            </w:r>
          </w:p>
          <w:p w14:paraId="522FC963">
            <w:pPr>
              <w:widowControl/>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4所有合同中规定的货物和材料都已在规定时间交付。</w:t>
            </w:r>
          </w:p>
          <w:p w14:paraId="48F5DFE7">
            <w:pPr>
              <w:widowControl/>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5.运行结果符合产品标准和技术规格及合同要求。</w:t>
            </w:r>
          </w:p>
          <w:p w14:paraId="0D523E02">
            <w:pPr>
              <w:widowControl/>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6.如发现有重大的质量问题，</w:t>
            </w:r>
            <w:r>
              <w:rPr>
                <w:rFonts w:hint="eastAsia" w:ascii="宋体" w:hAnsi="宋体" w:eastAsia="宋体" w:cs="宋体"/>
                <w:color w:val="auto"/>
                <w:sz w:val="22"/>
                <w:szCs w:val="22"/>
                <w:highlight w:val="none"/>
                <w:lang w:val="en-US" w:eastAsia="zh-CN"/>
              </w:rPr>
              <w:t>校方可提交</w:t>
            </w:r>
            <w:r>
              <w:rPr>
                <w:rFonts w:hint="eastAsia" w:ascii="宋体" w:hAnsi="宋体" w:eastAsia="宋体" w:cs="宋体"/>
                <w:color w:val="auto"/>
                <w:sz w:val="22"/>
                <w:szCs w:val="22"/>
                <w:highlight w:val="none"/>
              </w:rPr>
              <w:t>检测机构鉴定，如检测结果证明产品无质量问题，由采购人承担检测费用；如检测结果证明产品有质量问题，由投标人承担检测费用。</w:t>
            </w:r>
          </w:p>
          <w:p w14:paraId="06FCB5A2">
            <w:pPr>
              <w:widowControl/>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 投标人在设备到货、安装、调试和验收期间应采取严格的安全措施，承担由于自身原因所造成的事故责任及其发生的一切费用。</w:t>
            </w:r>
          </w:p>
          <w:p w14:paraId="5B046ECD">
            <w:pPr>
              <w:pStyle w:val="2"/>
              <w:widowControl/>
              <w:adjustRightInd w:val="0"/>
              <w:snapToGrid w:val="0"/>
              <w:spacing w:line="400" w:lineRule="exact"/>
              <w:rPr>
                <w:rFonts w:hint="default"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8.采购人将对中标人提供的货物进行抽查送检（包含但不限于投标响应内容），送检产生的费用由中标人负责，检测不合格的由中标人重新提供货物（由此造成的损失由中标人负责），直至检测合格为止，检测合格后由中标人负责将该房间窗帘复原。</w:t>
            </w:r>
          </w:p>
          <w:p w14:paraId="251074AC">
            <w:pPr>
              <w:pStyle w:val="2"/>
              <w:widowControl/>
              <w:adjustRightInd w:val="0"/>
              <w:snapToGrid w:val="0"/>
              <w:spacing w:line="400" w:lineRule="exact"/>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9</w:t>
            </w:r>
            <w:r>
              <w:rPr>
                <w:rFonts w:hint="eastAsia" w:ascii="宋体" w:hAnsi="宋体" w:eastAsia="宋体" w:cs="宋体"/>
                <w:color w:val="auto"/>
                <w:sz w:val="22"/>
                <w:szCs w:val="22"/>
                <w:highlight w:val="none"/>
              </w:rPr>
              <w:t>.验收费用由中标人承担</w:t>
            </w:r>
            <w:r>
              <w:rPr>
                <w:rFonts w:hint="eastAsia" w:ascii="宋体" w:hAnsi="宋体" w:eastAsia="宋体" w:cs="宋体"/>
                <w:color w:val="auto"/>
                <w:sz w:val="22"/>
                <w:szCs w:val="22"/>
                <w:highlight w:val="none"/>
                <w:lang w:eastAsia="zh-CN"/>
              </w:rPr>
              <w:t>。</w:t>
            </w:r>
          </w:p>
        </w:tc>
      </w:tr>
      <w:tr w14:paraId="3D50A2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51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F196B30">
            <w:pPr>
              <w:widowControl/>
              <w:adjustRightInd w:val="0"/>
              <w:snapToGrid w:val="0"/>
              <w:spacing w:line="40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售后服务标准要求</w:t>
            </w:r>
          </w:p>
        </w:tc>
        <w:tc>
          <w:tcPr>
            <w:tcW w:w="821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C0E040F">
            <w:pPr>
              <w:adjustRightInd w:val="0"/>
              <w:snapToGrid w:val="0"/>
              <w:spacing w:line="288"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在质保期内，供应商应对货物出现的质量及安全问题负责处理解决并承担一切费用。投标人在质保期内每年</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次上门维护服务</w:t>
            </w:r>
            <w:r>
              <w:rPr>
                <w:rFonts w:hint="eastAsia" w:ascii="宋体" w:hAnsi="宋体" w:eastAsia="宋体" w:cs="宋体"/>
                <w:color w:val="auto"/>
                <w:sz w:val="22"/>
                <w:szCs w:val="22"/>
                <w:highlight w:val="none"/>
                <w:lang w:eastAsia="zh-CN"/>
              </w:rPr>
              <w:t>（</w:t>
            </w:r>
            <w:r>
              <w:rPr>
                <w:rFonts w:hint="eastAsia" w:ascii="宋体" w:hAnsi="宋体" w:eastAsia="宋体" w:cs="宋体"/>
                <w:i w:val="0"/>
                <w:iCs w:val="0"/>
                <w:caps w:val="0"/>
                <w:color w:val="auto"/>
                <w:spacing w:val="0"/>
                <w:sz w:val="22"/>
                <w:szCs w:val="22"/>
                <w:highlight w:val="none"/>
                <w:shd w:val="clear" w:color="auto" w:fill="FFFFFF"/>
              </w:rPr>
              <w:t>检查窗帘轨道/杆、滑轮、挂钩等部件的牢固性和运行状态</w:t>
            </w:r>
            <w:r>
              <w:rPr>
                <w:rFonts w:hint="eastAsia" w:ascii="宋体" w:hAnsi="宋体" w:eastAsia="宋体" w:cs="宋体"/>
                <w:i w:val="0"/>
                <w:iCs w:val="0"/>
                <w:caps w:val="0"/>
                <w:color w:val="auto"/>
                <w:spacing w:val="0"/>
                <w:sz w:val="22"/>
                <w:szCs w:val="22"/>
                <w:highlight w:val="none"/>
                <w:shd w:val="clear" w:color="auto" w:fill="FFFFFF"/>
                <w:lang w:eastAsia="zh-CN"/>
              </w:rPr>
              <w:t>；</w:t>
            </w:r>
            <w:r>
              <w:rPr>
                <w:rFonts w:hint="eastAsia" w:ascii="宋体" w:hAnsi="宋体" w:eastAsia="宋体" w:cs="宋体"/>
                <w:i w:val="0"/>
                <w:iCs w:val="0"/>
                <w:caps w:val="0"/>
                <w:color w:val="auto"/>
                <w:spacing w:val="0"/>
                <w:sz w:val="22"/>
                <w:szCs w:val="22"/>
                <w:highlight w:val="none"/>
                <w:shd w:val="clear" w:color="auto" w:fill="FFFFFF"/>
              </w:rPr>
              <w:t>免费更换损坏的配件</w:t>
            </w:r>
            <w:r>
              <w:rPr>
                <w:rFonts w:hint="eastAsia" w:ascii="宋体" w:hAnsi="宋体" w:eastAsia="宋体" w:cs="宋体"/>
                <w:i w:val="0"/>
                <w:iCs w:val="0"/>
                <w:caps w:val="0"/>
                <w:color w:val="auto"/>
                <w:spacing w:val="0"/>
                <w:sz w:val="22"/>
                <w:szCs w:val="22"/>
                <w:highlight w:val="none"/>
                <w:shd w:val="clear" w:color="auto" w:fill="FFFFFF"/>
                <w:lang w:eastAsia="zh-CN"/>
              </w:rPr>
              <w:t>；</w:t>
            </w:r>
            <w:r>
              <w:rPr>
                <w:rFonts w:hint="eastAsia" w:ascii="宋体" w:hAnsi="宋体" w:eastAsia="宋体" w:cs="宋体"/>
                <w:i w:val="0"/>
                <w:iCs w:val="0"/>
                <w:caps w:val="0"/>
                <w:color w:val="auto"/>
                <w:spacing w:val="0"/>
                <w:sz w:val="22"/>
                <w:szCs w:val="22"/>
                <w:highlight w:val="none"/>
                <w:shd w:val="clear" w:color="auto" w:fill="FFFFFF"/>
              </w:rPr>
              <w:t>复位轨道位置等</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故障24 小时响应、48 小时上门处理</w:t>
            </w:r>
            <w:r>
              <w:rPr>
                <w:rFonts w:hint="eastAsia" w:ascii="宋体" w:hAnsi="宋体" w:eastAsia="宋体" w:cs="宋体"/>
                <w:color w:val="auto"/>
                <w:sz w:val="22"/>
                <w:szCs w:val="22"/>
                <w:highlight w:val="none"/>
                <w:lang w:eastAsia="zh-CN"/>
              </w:rPr>
              <w:t>。</w:t>
            </w:r>
          </w:p>
          <w:p w14:paraId="2DD7BA02">
            <w:pPr>
              <w:adjustRightInd w:val="0"/>
              <w:snapToGrid w:val="0"/>
              <w:spacing w:line="288"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质保期内出现无法排除的故障，供应商需承诺为采购人更换同样型号配置的全新产品（提供的产品均为厂家正规渠道原装全新产品，完全验符合所描述的品牌、型号规格、参数性能等要求）。投标人需列出易损件的价格清单。</w:t>
            </w:r>
          </w:p>
          <w:p w14:paraId="1EB254D8">
            <w:pPr>
              <w:adjustRightInd w:val="0"/>
              <w:snapToGrid w:val="0"/>
              <w:spacing w:line="288"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3.质保期满后，供应商继续为采购人服务，仅收取零配件成本费。</w:t>
            </w:r>
          </w:p>
        </w:tc>
      </w:tr>
      <w:tr w14:paraId="20226C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51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B3734CB">
            <w:pPr>
              <w:widowControl/>
              <w:adjustRightInd w:val="0"/>
              <w:snapToGrid w:val="0"/>
              <w:spacing w:line="40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其他技术、服务要求</w:t>
            </w:r>
          </w:p>
        </w:tc>
        <w:tc>
          <w:tcPr>
            <w:tcW w:w="821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6890CA8">
            <w:pPr>
              <w:widowControl/>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1.技术支持：</w:t>
            </w:r>
          </w:p>
          <w:p w14:paraId="1F79E064">
            <w:pPr>
              <w:widowControl/>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中标人应免费提供合同货物新功能和应用的资料。</w:t>
            </w:r>
          </w:p>
          <w:p w14:paraId="1708C908">
            <w:pPr>
              <w:widowControl/>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2.安装调试（若需要安装调试）：</w:t>
            </w:r>
          </w:p>
          <w:p w14:paraId="3F1964E4">
            <w:pPr>
              <w:widowControl/>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 安装地点：采购人指定地点。</w:t>
            </w:r>
          </w:p>
          <w:p w14:paraId="2F6A4A86">
            <w:pPr>
              <w:widowControl/>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2.2投标人提供</w:t>
            </w:r>
            <w:r>
              <w:rPr>
                <w:rFonts w:hint="eastAsia" w:ascii="宋体" w:hAnsi="宋体" w:eastAsia="宋体" w:cs="宋体"/>
                <w:color w:val="auto"/>
                <w:sz w:val="22"/>
                <w:szCs w:val="22"/>
                <w:highlight w:val="none"/>
                <w:lang w:val="en-US" w:eastAsia="zh-CN"/>
              </w:rPr>
              <w:t>设备</w:t>
            </w:r>
            <w:r>
              <w:rPr>
                <w:rFonts w:hint="eastAsia" w:ascii="宋体" w:hAnsi="宋体" w:eastAsia="宋体" w:cs="宋体"/>
                <w:color w:val="auto"/>
                <w:sz w:val="22"/>
                <w:szCs w:val="22"/>
                <w:highlight w:val="none"/>
              </w:rPr>
              <w:t>的免费现场安装调试</w:t>
            </w:r>
          </w:p>
          <w:p w14:paraId="487F2626">
            <w:pPr>
              <w:widowControl/>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2.3 安装标准：符合我国国家有关技术规范要求和技术标准，所有的货物必须保证安装到位。</w:t>
            </w:r>
          </w:p>
          <w:p w14:paraId="56DF2C6F">
            <w:pPr>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2.4 中标人免费提供合同货物的安装服务。</w:t>
            </w:r>
          </w:p>
        </w:tc>
      </w:tr>
      <w:tr w14:paraId="43D8B4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6" w:hRule="atLeast"/>
        </w:trPr>
        <w:tc>
          <w:tcPr>
            <w:tcW w:w="151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A75D985">
            <w:pPr>
              <w:widowControl/>
              <w:adjustRightInd w:val="0"/>
              <w:snapToGrid w:val="0"/>
              <w:spacing w:line="400" w:lineRule="exact"/>
              <w:jc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报价</w:t>
            </w:r>
          </w:p>
        </w:tc>
        <w:tc>
          <w:tcPr>
            <w:tcW w:w="821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5F1E013">
            <w:pPr>
              <w:tabs>
                <w:tab w:val="left" w:pos="400"/>
              </w:tabs>
              <w:adjustRightInd w:val="0"/>
              <w:snapToGrid w:val="0"/>
              <w:spacing w:line="460" w:lineRule="exact"/>
              <w:ind w:left="447" w:hanging="446" w:hangingChars="203"/>
              <w:rPr>
                <w:rFonts w:hint="eastAsia" w:ascii="宋体" w:hAnsi="宋体" w:eastAsia="宋体" w:cs="宋体"/>
                <w:color w:val="auto"/>
                <w:sz w:val="22"/>
                <w:szCs w:val="22"/>
                <w:highlight w:val="none"/>
              </w:rPr>
            </w:pPr>
            <w:r>
              <w:rPr>
                <w:rFonts w:hint="eastAsia" w:ascii="宋体" w:hAnsi="宋体"/>
                <w:bCs/>
                <w:i w:val="0"/>
                <w:iCs w:val="0"/>
                <w:color w:val="000000"/>
                <w:sz w:val="22"/>
                <w:u w:val="none"/>
                <w:lang w:val="en-US" w:eastAsia="zh-CN"/>
              </w:rPr>
              <w:t>本部分的</w:t>
            </w:r>
            <w:r>
              <w:rPr>
                <w:rFonts w:hint="eastAsia" w:ascii="宋体" w:hAnsi="宋体"/>
                <w:bCs/>
                <w:i w:val="0"/>
                <w:iCs w:val="0"/>
                <w:color w:val="000000"/>
                <w:sz w:val="22"/>
                <w:u w:val="none"/>
              </w:rPr>
              <w:t>以上工作内容的费用均包含在</w:t>
            </w:r>
            <w:r>
              <w:rPr>
                <w:rFonts w:hint="eastAsia" w:ascii="宋体" w:hAnsi="宋体"/>
                <w:bCs/>
                <w:i w:val="0"/>
                <w:iCs w:val="0"/>
                <w:color w:val="000000"/>
                <w:sz w:val="22"/>
                <w:u w:val="none"/>
                <w:lang w:eastAsia="zh-CN"/>
              </w:rPr>
              <w:t>响应总价</w:t>
            </w:r>
            <w:r>
              <w:rPr>
                <w:rFonts w:hint="eastAsia" w:ascii="宋体" w:hAnsi="宋体"/>
                <w:bCs/>
                <w:i w:val="0"/>
                <w:iCs w:val="0"/>
                <w:color w:val="000000"/>
                <w:sz w:val="22"/>
                <w:u w:val="none"/>
              </w:rPr>
              <w:t>中。</w:t>
            </w:r>
          </w:p>
        </w:tc>
      </w:tr>
    </w:tbl>
    <w:p w14:paraId="00E1BFA6">
      <w:pPr>
        <w:rPr>
          <w:rFonts w:ascii="黑体" w:hAnsi="黑体" w:eastAsia="黑体"/>
          <w:bCs/>
          <w:color w:val="auto"/>
          <w:sz w:val="36"/>
          <w:szCs w:val="36"/>
          <w:highlight w:val="none"/>
        </w:rPr>
      </w:pPr>
    </w:p>
    <w:p w14:paraId="4234C167">
      <w:pPr>
        <w:pStyle w:val="5"/>
        <w:rPr>
          <w:rFonts w:hint="eastAsia" w:ascii="宋体" w:hAnsi="宋体" w:cs="宋体"/>
          <w:b/>
          <w:bCs/>
        </w:rPr>
        <w:sectPr>
          <w:pgSz w:w="11906" w:h="16838"/>
          <w:pgMar w:top="1440" w:right="1247" w:bottom="1440" w:left="1247" w:header="851" w:footer="992" w:gutter="0"/>
          <w:cols w:space="720" w:num="1"/>
          <w:titlePg/>
          <w:docGrid w:type="linesAndChars" w:linePitch="312" w:charSpace="0"/>
        </w:sectPr>
      </w:pPr>
    </w:p>
    <w:p w14:paraId="027F7642">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392A5D"/>
    <w:multiLevelType w:val="singleLevel"/>
    <w:tmpl w:val="79392A5D"/>
    <w:lvl w:ilvl="0" w:tentative="0">
      <w:start w:val="1"/>
      <w:numFmt w:val="chineseCounting"/>
      <w:suff w:val="nothing"/>
      <w:lvlText w:val="%1、"/>
      <w:lvlJc w:val="left"/>
      <w:pPr>
        <w:ind w:left="63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D16A5E"/>
    <w:rsid w:val="58277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Indent"/>
    <w:basedOn w:val="1"/>
    <w:next w:val="4"/>
    <w:qFormat/>
    <w:uiPriority w:val="0"/>
    <w:pPr>
      <w:spacing w:after="120"/>
      <w:ind w:left="420" w:leftChars="200"/>
    </w:pPr>
    <w:rPr>
      <w:szCs w:val="24"/>
    </w:rPr>
  </w:style>
  <w:style w:type="paragraph" w:styleId="4">
    <w:name w:val="envelope return"/>
    <w:basedOn w:val="1"/>
    <w:qFormat/>
    <w:uiPriority w:val="0"/>
    <w:pPr>
      <w:snapToGrid w:val="0"/>
    </w:pPr>
    <w:rPr>
      <w:rFonts w:ascii="Arial" w:hAnsi="Arial"/>
    </w:rPr>
  </w:style>
  <w:style w:type="paragraph" w:styleId="5">
    <w:name w:val="Title"/>
    <w:basedOn w:val="1"/>
    <w:next w:val="1"/>
    <w:qFormat/>
    <w:uiPriority w:val="0"/>
    <w:pPr>
      <w:spacing w:before="240" w:after="60"/>
      <w:jc w:val="center"/>
      <w:outlineLvl w:val="0"/>
    </w:pPr>
    <w:rPr>
      <w:rFonts w:ascii="Arial" w:hAnsi="Arial" w:cs="Arial"/>
      <w:sz w:val="32"/>
      <w:szCs w:val="32"/>
    </w:rPr>
  </w:style>
  <w:style w:type="paragraph" w:styleId="6">
    <w:name w:val="Body Text First Indent 2"/>
    <w:basedOn w:val="3"/>
    <w:qFormat/>
    <w:uiPriority w:val="0"/>
    <w:pPr>
      <w:widowControl w:val="0"/>
      <w:autoSpaceDE/>
      <w:autoSpaceDN/>
      <w:snapToGrid/>
      <w:spacing w:after="120" w:line="240" w:lineRule="auto"/>
      <w:ind w:left="420" w:leftChars="200" w:firstLine="420"/>
      <w:textAlignment w:val="auto"/>
    </w:pPr>
    <w:rPr>
      <w:kern w:val="2"/>
      <w:sz w:val="21"/>
      <w:szCs w:val="24"/>
    </w:rPr>
  </w:style>
  <w:style w:type="table" w:styleId="8">
    <w:name w:val="Table Grid"/>
    <w:basedOn w:val="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2025-09-17T02:09:00Z</dcterms:created>
  <dc:creator>25045</dc:creator>
  <cp:lastModifiedBy>ma~</cp:lastModifiedBy>
  <dcterms:modified xsi:type="dcterms:W3CDTF">2026-07-20T07:51:27Z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1843B7EA6AD44BF8BADE7FF588E92B7C_12</vt:lpwstr>
  </property>
  <property fmtid="{D5CDD505-2E9C-101B-9397-08002B2CF9AE}" pid="4" name="KSOTemplateDocerSaveRecord">
    <vt:lpwstr>eyJoZGlkIjoiYjkyZmNhZmMwYTRkMzdjNDc0ZDBiODA4ZTNmNjg2YzYiLCJ1c2VySWQiOiIzMjk2ODY1MjgifQ==</vt:lpwstr>
  </property>
</Properties>
</file>